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-142" w:right="51" w:firstLine="33" w:firstLineChars="7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48"/>
          <w:szCs w:val="48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48"/>
          <w:szCs w:val="48"/>
          <w:lang w:val="en-US" w:eastAsia="zh-CN" w:bidi="ar-SA"/>
        </w:rPr>
        <w:t>获嘉县司法局2</w:t>
      </w:r>
      <w:bookmarkStart w:id="0" w:name="_GoBack"/>
      <w:bookmarkEnd w:id="0"/>
      <w:r>
        <w:rPr>
          <w:rStyle w:val="6"/>
          <w:rFonts w:ascii="黑体" w:hAnsi="黑体" w:eastAsia="黑体"/>
          <w:color w:val="000000"/>
          <w:kern w:val="2"/>
          <w:sz w:val="48"/>
          <w:szCs w:val="48"/>
          <w:lang w:val="en-US" w:eastAsia="zh-CN" w:bidi="ar-SA"/>
        </w:rPr>
        <w:t>020年部门预算公开</w:t>
      </w:r>
    </w:p>
    <w:p>
      <w:pPr>
        <w:snapToGrid w:val="0"/>
        <w:spacing w:line="360" w:lineRule="auto"/>
        <w:ind w:left="-142" w:right="51" w:firstLine="33" w:firstLineChars="7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48"/>
          <w:szCs w:val="48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48"/>
          <w:szCs w:val="48"/>
          <w:lang w:val="en-US" w:eastAsia="zh-CN" w:bidi="ar-SA"/>
        </w:rPr>
        <w:t>目</w:t>
      </w:r>
      <w:r>
        <w:rPr>
          <w:rStyle w:val="6"/>
          <w:rFonts w:ascii="黑体" w:hAnsi="黑体" w:eastAsia="黑体"/>
          <w:color w:val="000000"/>
          <w:spacing w:val="2"/>
          <w:kern w:val="2"/>
          <w:sz w:val="48"/>
          <w:szCs w:val="48"/>
          <w:lang w:val="en-US" w:eastAsia="zh-CN" w:bidi="ar-SA"/>
        </w:rPr>
        <w:t xml:space="preserve"> </w:t>
      </w:r>
      <w:r>
        <w:rPr>
          <w:rStyle w:val="6"/>
          <w:rFonts w:ascii="黑体" w:hAnsi="黑体" w:eastAsia="黑体"/>
          <w:color w:val="000000"/>
          <w:kern w:val="2"/>
          <w:sz w:val="48"/>
          <w:szCs w:val="48"/>
          <w:lang w:val="en-US" w:eastAsia="zh-CN" w:bidi="ar-SA"/>
        </w:rPr>
        <w:t>录</w:t>
      </w:r>
    </w:p>
    <w:p>
      <w:pPr>
        <w:ind w:left="105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ind w:left="105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第一部分  获嘉县司法局概况</w:t>
      </w:r>
    </w:p>
    <w:p>
      <w:pPr>
        <w:widowControl/>
        <w:spacing w:line="600" w:lineRule="atLeast"/>
        <w:ind w:firstLine="64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一、主要职能</w:t>
      </w:r>
    </w:p>
    <w:p>
      <w:pPr>
        <w:widowControl/>
        <w:spacing w:line="600" w:lineRule="atLeast"/>
        <w:ind w:firstLine="640" w:firstLineChars="2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二、部门预算单位构成</w:t>
      </w:r>
    </w:p>
    <w:p>
      <w:pPr>
        <w:widowControl/>
        <w:spacing w:line="600" w:lineRule="atLeast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第二部分 获嘉县司法局2020年部门预算情况说明</w:t>
      </w:r>
    </w:p>
    <w:p>
      <w:pPr>
        <w:widowControl/>
        <w:spacing w:line="600" w:lineRule="atLeast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第三部分  名词解释</w:t>
      </w:r>
    </w:p>
    <w:p>
      <w:pPr>
        <w:widowControl/>
        <w:spacing w:line="600" w:lineRule="atLeast"/>
        <w:jc w:val="both"/>
        <w:textAlignment w:val="baseline"/>
        <w:rPr>
          <w:rStyle w:val="6"/>
          <w:rFonts w:ascii="黑体" w:hAnsi="黑体" w:eastAsia="黑体"/>
          <w:color w:val="000000"/>
          <w:kern w:val="0"/>
          <w:sz w:val="21"/>
          <w:szCs w:val="21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附件：获嘉县司法局2020年部门预算表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部门收支总体情况表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二、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部门收入总体情况表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三、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部门支出总体情况表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四、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财政拨款收支总体情况表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五、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一般公共预算支出情况表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六、一般公共预算基本支出情况表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七、一般公共预算项目支出情况表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八、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一般公共预算“三公”经费支出情况表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九、</w:t>
      </w: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政府性基金预算支出情况表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十、政府性基金预算项目支出情况表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十一、机关运行经费情况表</w:t>
      </w:r>
    </w:p>
    <w:p>
      <w:pPr>
        <w:snapToGrid w:val="0"/>
        <w:spacing w:line="360" w:lineRule="auto"/>
        <w:ind w:right="51" w:firstLine="960" w:firstLineChars="300"/>
        <w:jc w:val="left"/>
        <w:textAlignment w:val="baseline"/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十二、政府采购及新增资产配置计划表</w:t>
      </w:r>
    </w:p>
    <w:p>
      <w:pPr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第一部分</w:t>
      </w:r>
    </w:p>
    <w:p>
      <w:pPr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获嘉县司法局概况</w:t>
      </w:r>
    </w:p>
    <w:p>
      <w:pPr>
        <w:ind w:firstLine="643" w:firstLineChars="200"/>
        <w:jc w:val="both"/>
        <w:textAlignment w:val="baseline"/>
        <w:rPr>
          <w:rStyle w:val="6"/>
          <w:rFonts w:ascii="仿宋_GB2312" w:eastAsia="仿宋_GB2312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b/>
          <w:color w:val="000000"/>
          <w:kern w:val="2"/>
          <w:sz w:val="32"/>
          <w:szCs w:val="32"/>
          <w:lang w:val="en-US" w:eastAsia="zh-CN" w:bidi="ar-SA"/>
        </w:rPr>
        <w:t>一、部门主要职责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（1）承担全面依法治县有关具体工作。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（2）承担政府规范性文件有关工作。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（3）承担统筹推进法治政府建设工作。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（4）负责综合协调、指导监督全县行政执法工作。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（5）承担县政府交办的法律事务。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（6）承担统筹规划法治社会建设责任。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（7）负责拟定全县公共法律服务体系建设规划并指导实施。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（8）监督管理全县社区矫正工作，指导社会力量和志愿者参与社区矫正工作。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（9）监督指导全县司法所建设和刑满释放人员安置帮教工作。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 xml:space="preserve">（10）指导监督全县司法行政系统财务、装备、设施、场所建设等保障工作。负责全县司法行政系统警车管理工作。 </w:t>
      </w:r>
    </w:p>
    <w:p>
      <w:pPr>
        <w:kinsoku/>
        <w:wordWrap/>
        <w:overflowPunct/>
        <w:autoSpaceDE/>
        <w:autoSpaceDN/>
        <w:bidi w:val="0"/>
        <w:spacing w:line="580" w:lineRule="exact"/>
        <w:ind w:firstLine="640" w:firstLineChars="200"/>
        <w:jc w:val="both"/>
        <w:textAlignment w:val="auto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（11）指导监督全县司法行政系统队伍建设工作。12、完成县委，县政府交办的其他任务。</w:t>
      </w:r>
    </w:p>
    <w:p>
      <w:pPr>
        <w:widowControl/>
        <w:spacing w:line="600" w:lineRule="atLeast"/>
        <w:ind w:firstLine="640" w:firstLineChars="200"/>
        <w:jc w:val="left"/>
        <w:textAlignment w:val="baseline"/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" w:hAnsi="仿宋" w:eastAsia="仿宋"/>
          <w:color w:val="000000"/>
          <w:kern w:val="2"/>
          <w:sz w:val="32"/>
          <w:szCs w:val="32"/>
          <w:lang w:val="en-US" w:eastAsia="zh-CN" w:bidi="ar-SA"/>
        </w:rPr>
        <w:t>获嘉县司法局机构设置情况：获嘉县司法局下社11个基层司法所。分别是：城关司法所、照镜司法所、黄堤司法所、中和司法所、徐营司法所、冯庄司法所、亢村司法所、史庄司法所、位庄司法所、大新庄司法所、太山司法所；3个局直事业单位。分别是：河南省获嘉县公证处、获嘉县法律援助中心、获嘉县社区矫正中心；9个机关股室。分别是：党政办公室、法制工作办公室、县委依法治县委员会办公室秘书股、法律服务工作指导股、基层工作指导股、社区矫正管理办公室、计财装备股、政治处、宣传股。</w:t>
      </w:r>
    </w:p>
    <w:p>
      <w:pPr>
        <w:spacing w:line="600" w:lineRule="exact"/>
        <w:ind w:firstLine="643" w:firstLineChars="200"/>
        <w:jc w:val="both"/>
        <w:textAlignment w:val="baseline"/>
        <w:rPr>
          <w:rStyle w:val="6"/>
          <w:rFonts w:ascii="仿宋_GB2312" w:hAnsi="仿宋_GB2312" w:eastAsia="仿宋_GB2312"/>
          <w:b/>
          <w:color w:val="000000"/>
          <w:kern w:val="0"/>
          <w:sz w:val="32"/>
          <w:szCs w:val="20"/>
          <w:lang w:val="en-US" w:eastAsia="zh-CN" w:bidi="ar-SA"/>
        </w:rPr>
      </w:pPr>
      <w:r>
        <w:rPr>
          <w:rStyle w:val="6"/>
          <w:rFonts w:ascii="仿宋_GB2312" w:hAnsi="仿宋_GB2312" w:eastAsia="仿宋_GB2312"/>
          <w:b/>
          <w:color w:val="000000"/>
          <w:kern w:val="0"/>
          <w:sz w:val="32"/>
          <w:szCs w:val="20"/>
          <w:lang w:val="en-US" w:eastAsia="zh-CN" w:bidi="ar-SA"/>
        </w:rPr>
        <w:t>二、获嘉县司法局预算单位构成</w:t>
      </w:r>
    </w:p>
    <w:p>
      <w:pPr>
        <w:spacing w:line="6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color w:val="000000"/>
          <w:kern w:val="0"/>
          <w:sz w:val="32"/>
          <w:szCs w:val="20"/>
          <w:lang w:val="en-US" w:eastAsia="zh-CN" w:bidi="ar-SA"/>
        </w:rPr>
      </w:pPr>
      <w:r>
        <w:rPr>
          <w:rStyle w:val="6"/>
          <w:rFonts w:ascii="仿宋_GB2312" w:hAnsi="仿宋_GB2312" w:eastAsia="仿宋_GB2312"/>
          <w:color w:val="000000"/>
          <w:kern w:val="0"/>
          <w:sz w:val="32"/>
          <w:szCs w:val="20"/>
          <w:lang w:val="en-US" w:eastAsia="zh-CN" w:bidi="ar-SA"/>
        </w:rPr>
        <w:t>获嘉县司法局部门预算为机关本级预算，无下属单位预算。</w:t>
      </w:r>
    </w:p>
    <w:p>
      <w:pPr>
        <w:spacing w:line="6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  <w:t>第二部分</w:t>
      </w:r>
    </w:p>
    <w:p>
      <w:pPr>
        <w:spacing w:line="600" w:lineRule="exact"/>
        <w:ind w:firstLine="640" w:firstLineChars="200"/>
        <w:jc w:val="center"/>
        <w:textAlignment w:val="baseline"/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0"/>
          <w:sz w:val="32"/>
          <w:szCs w:val="20"/>
          <w:lang w:val="en-US" w:eastAsia="zh-CN" w:bidi="ar-SA"/>
        </w:rPr>
        <w:t>获嘉县司法局2020年部门预算情况说明</w:t>
      </w:r>
    </w:p>
    <w:p>
      <w:pPr>
        <w:spacing w:line="600" w:lineRule="exact"/>
        <w:ind w:firstLine="640" w:firstLineChars="200"/>
        <w:jc w:val="both"/>
        <w:textAlignment w:val="baseline"/>
        <w:rPr>
          <w:rStyle w:val="6"/>
          <w:rFonts w:ascii="仿宋_GB2312" w:hAnsi="仿宋_GB2312" w:eastAsia="仿宋_GB2312"/>
          <w:color w:val="000000"/>
          <w:kern w:val="0"/>
          <w:sz w:val="32"/>
          <w:szCs w:val="20"/>
          <w:lang w:val="en-US" w:eastAsia="zh-CN" w:bidi="ar-SA"/>
        </w:rPr>
      </w:pP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一、收支预算总体情况说明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 w:cs="Courier New"/>
          <w:bCs/>
          <w:color w:val="000000"/>
          <w:kern w:val="2"/>
          <w:sz w:val="32"/>
          <w:szCs w:val="32"/>
          <w:lang w:val="en-US" w:eastAsia="zh-CN" w:bidi="ar-SA"/>
        </w:rPr>
        <w:t>获嘉县司法局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2020年收入总计643.53万元，支出总计643.53万元，与2019年预算相比，收、支总计各增加10万元，增加1.58%。主要原因：人员工资调整、社会保险费增加、公积金缴存比例调整。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  <w:t>二、收入预算总体情况说明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仿宋_GB2312" w:hAnsi="宋体" w:eastAsia="仿宋_GB2312" w:cs="Courier New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 w:cs="Courier New"/>
          <w:bCs/>
          <w:color w:val="000000"/>
          <w:kern w:val="2"/>
          <w:sz w:val="32"/>
          <w:szCs w:val="32"/>
          <w:lang w:val="en-US" w:eastAsia="zh-CN" w:bidi="ar-SA"/>
        </w:rPr>
        <w:t>获嘉县司法局2020年收入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643.53</w:t>
      </w:r>
      <w:r>
        <w:rPr>
          <w:rStyle w:val="6"/>
          <w:rFonts w:ascii="仿宋_GB2312" w:hAnsi="宋体" w:eastAsia="仿宋_GB2312" w:cs="Courier New"/>
          <w:bCs/>
          <w:color w:val="000000"/>
          <w:kern w:val="2"/>
          <w:sz w:val="32"/>
          <w:szCs w:val="32"/>
          <w:lang w:val="en-US" w:eastAsia="zh-CN" w:bidi="ar-SA"/>
        </w:rPr>
        <w:t>万元，其中：一般公共预算643.53万元；政府性基金预算收入0万元；纳入财政专户管理收费收入0万元。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  <w:t>三、支出预算总体情况说明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获嘉县司法局2020年支出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合计643.53</w:t>
      </w: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万元，其中：基本支出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375.23</w:t>
      </w: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万元，占总支出的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58.31</w:t>
      </w: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%，项目支出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268.30</w:t>
      </w: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万元，占总支出的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41.69</w:t>
      </w: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%。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  <w:t>四、财政拨款收入支出预算总体情况说明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获嘉县司法局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2020年一般公共预算收支预算643.53万元，与 2019年相比，一般公共预算收支预算增加10万元，增长1.58%，主要原因：人员工资调整、社会保险费增加、公积金缴存比例调整。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  <w:t>五、一般公共预算支出预算情况说明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Calibri" w:eastAsia="仿宋_GB2312"/>
          <w:color w:val="000000"/>
          <w:kern w:val="2"/>
          <w:sz w:val="32"/>
          <w:szCs w:val="32"/>
          <w:lang w:val="en-US" w:eastAsia="zh-CN" w:bidi="ar-SA"/>
        </w:rPr>
        <w:t>获嘉县司法局</w:t>
      </w:r>
      <w:r>
        <w:rPr>
          <w:rStyle w:val="6"/>
          <w:rFonts w:ascii="仿宋_GB2312" w:hAnsi="仿宋" w:eastAsia="仿宋_GB2312"/>
          <w:color w:val="auto"/>
          <w:kern w:val="2"/>
          <w:sz w:val="32"/>
          <w:szCs w:val="32"/>
          <w:lang w:val="en-US" w:eastAsia="zh-CN" w:bidi="ar-SA"/>
        </w:rPr>
        <w:t>2020年一般公共预算支出年初预算为643.53万元。主要用于以下几个方面：社会保障和就业（类）支出53.13万元，占8.26%；卫生健康（类）支出15.27万元，占2.37%；住房保障（类）支出20.35万元，占3.17%。公共安全支出554.78万元，占86.2%。</w:t>
      </w:r>
    </w:p>
    <w:p>
      <w:pPr>
        <w:spacing w:line="580" w:lineRule="exact"/>
        <w:ind w:firstLine="640" w:firstLineChars="200"/>
        <w:jc w:val="both"/>
        <w:textAlignment w:val="baseline"/>
        <w:rPr>
          <w:rStyle w:val="9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黑体" w:hAnsi="黑体" w:eastAsia="黑体"/>
          <w:color w:val="000000"/>
          <w:kern w:val="0"/>
          <w:sz w:val="32"/>
          <w:szCs w:val="32"/>
          <w:lang w:val="en-US" w:eastAsia="zh-CN" w:bidi="ar-SA"/>
        </w:rPr>
        <w:t>六、一般公共预算基本支出预算情况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9"/>
          <w:rFonts w:ascii="黑体" w:hAnsi="黑体" w:eastAsia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获嘉县司法局2020年一般公共预算基本支出375.23万元，其中人员经费3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51.53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万元，主要包括：基本工资、津贴补贴、绩效工资、机关事业单位基本养老保险缴费、职工基本医疗保险缴费、其他社会保障缴费、住房公积金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、退休费等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公用经费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23.70万元，主要包括：其他交通费用等</w:t>
      </w:r>
      <w:r>
        <w:rPr>
          <w:rStyle w:val="6"/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 xml:space="preserve">。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9"/>
          <w:rFonts w:ascii="黑体" w:hAnsi="黑体" w:eastAsia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9"/>
          <w:rFonts w:ascii="黑体" w:hAnsi="黑体" w:eastAsia="黑体"/>
          <w:color w:val="000000"/>
          <w:kern w:val="0"/>
          <w:sz w:val="32"/>
          <w:szCs w:val="32"/>
          <w:lang w:val="en-US" w:eastAsia="zh-CN" w:bidi="ar-SA"/>
        </w:rPr>
        <w:t>七、一般公共预算“三公”经费支出情况</w:t>
      </w:r>
    </w:p>
    <w:p>
      <w:pPr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获嘉县司法局2020年“三公”经费预算为20.90万元，较2019年预算增加13.90万元。具体情况如下：</w:t>
      </w:r>
    </w:p>
    <w:p>
      <w:pPr>
        <w:snapToGrid w:val="0"/>
        <w:spacing w:line="360" w:lineRule="auto"/>
        <w:ind w:firstLine="636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spacing w:val="-1"/>
          <w:kern w:val="0"/>
          <w:sz w:val="32"/>
          <w:szCs w:val="32"/>
          <w:lang w:val="en-US" w:eastAsia="zh-CN" w:bidi="ar-SA"/>
        </w:rPr>
        <w:t>（一）因公出国（境）费0万元，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预算数与2019年预算相比没有变化。</w:t>
      </w:r>
    </w:p>
    <w:p>
      <w:pPr>
        <w:snapToGrid w:val="0"/>
        <w:spacing w:line="360" w:lineRule="auto"/>
        <w:ind w:firstLine="64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spacing w:val="-1"/>
          <w:kern w:val="0"/>
          <w:sz w:val="32"/>
          <w:szCs w:val="32"/>
          <w:lang w:val="en-US" w:eastAsia="zh-CN" w:bidi="ar-SA"/>
        </w:rPr>
        <w:t>（二）公务用车购置及运行费20</w:t>
      </w:r>
      <w:r>
        <w:rPr>
          <w:rStyle w:val="6"/>
          <w:rFonts w:ascii="仿宋_GB2312" w:eastAsia="仿宋_GB2312"/>
          <w:color w:val="000000"/>
          <w:kern w:val="0"/>
          <w:sz w:val="32"/>
          <w:szCs w:val="32"/>
          <w:lang w:val="en-US" w:eastAsia="zh-CN" w:bidi="ar-SA"/>
        </w:rPr>
        <w:t>万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元，其中：公务用车购置费12万元；公务用车运行维护费8万元，主要用于开展工作所需公务用车的燃料费、维修费、过路过桥费、保险费等支出。</w:t>
      </w:r>
    </w:p>
    <w:p>
      <w:pPr>
        <w:snapToGrid w:val="0"/>
        <w:spacing w:line="360" w:lineRule="auto"/>
        <w:ind w:firstLine="64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公务用车购置费预算数与2019年预算相比增加12万元，主要原因：我单位在2020年准备购置公车一辆。</w:t>
      </w:r>
    </w:p>
    <w:p>
      <w:pPr>
        <w:snapToGrid w:val="0"/>
        <w:spacing w:line="360" w:lineRule="auto"/>
        <w:ind w:firstLine="64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公务用车运行维护费预算数比 2019年预算增加2万元，主要原因：职能增加、社区矫正执法执勤用车次数、人民调解、法律援助，公证等工作的大力开展以及夏季晚上巡逻等。</w:t>
      </w:r>
    </w:p>
    <w:p>
      <w:pPr>
        <w:spacing w:line="360" w:lineRule="auto"/>
        <w:ind w:firstLine="636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spacing w:val="-1"/>
          <w:kern w:val="0"/>
          <w:sz w:val="32"/>
          <w:szCs w:val="32"/>
          <w:lang w:val="en-US" w:eastAsia="zh-CN" w:bidi="ar-SA"/>
        </w:rPr>
        <w:t>（三）公务接待费0.9</w:t>
      </w: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万元，预算数与2019年预算相比下降0.1万元，主要原因：严格执行中央八项规定，厉行节约，杜绝浪费。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  <w:t>八、政府性基金预算支出情况说明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我单位2020年无使用政府性基金预算拨款安排的支出。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 w:cs="Courier New"/>
          <w:bCs/>
          <w:color w:val="000000"/>
          <w:kern w:val="2"/>
          <w:sz w:val="32"/>
          <w:szCs w:val="32"/>
          <w:lang w:val="en-US" w:eastAsia="zh-CN" w:bidi="ar-SA"/>
        </w:rPr>
        <w:t>九、其他重要事项情况说明</w:t>
      </w:r>
    </w:p>
    <w:p>
      <w:pPr>
        <w:spacing w:line="560" w:lineRule="exact"/>
        <w:ind w:firstLine="630" w:firstLineChars="196"/>
        <w:jc w:val="both"/>
        <w:textAlignment w:val="baseline"/>
        <w:rPr>
          <w:rStyle w:val="6"/>
          <w:rFonts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（一）机关运行经费支出情况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" w:eastAsia="仿宋_GB2312"/>
          <w:color w:val="000000"/>
          <w:kern w:val="2"/>
          <w:sz w:val="32"/>
          <w:szCs w:val="32"/>
          <w:lang w:val="en-US" w:eastAsia="zh-CN" w:bidi="ar-SA"/>
        </w:rPr>
        <w:t>获嘉县司法局2020年机关运行经费支出预算127万元，主要保障机构正常运转及正常履职需要的办公费54.40万元、印刷费13万元、水费0.80万元、物业管理费9.70万元、电费6万元、邮电费21万元、差旅费4万元、维修（护）费4万元、公车运行维护费8万元、其他商品和服务支出6.10万元。</w:t>
      </w:r>
    </w:p>
    <w:p>
      <w:pPr>
        <w:spacing w:line="360" w:lineRule="auto"/>
        <w:ind w:firstLine="643" w:firstLineChars="200"/>
        <w:jc w:val="both"/>
        <w:textAlignment w:val="baseline"/>
        <w:rPr>
          <w:rStyle w:val="6"/>
          <w:rFonts w:ascii="仿宋_GB2312" w:eastAsia="仿宋_GB2312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b/>
          <w:color w:val="000000"/>
          <w:kern w:val="2"/>
          <w:sz w:val="32"/>
          <w:szCs w:val="32"/>
          <w:lang w:val="en-US" w:eastAsia="zh-CN" w:bidi="ar-SA"/>
        </w:rPr>
        <w:t>（二）政府采购支出情况</w:t>
      </w:r>
    </w:p>
    <w:p>
      <w:pPr>
        <w:spacing w:line="560" w:lineRule="exact"/>
        <w:ind w:firstLine="640" w:firstLineChars="200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2020年政府采购预算安排0万元，其中：政府采购货物预算0万元、政府采购工程预算0万元、政府采购服务预算0万元。</w:t>
      </w:r>
    </w:p>
    <w:p>
      <w:pPr>
        <w:snapToGrid w:val="0"/>
        <w:spacing w:line="360" w:lineRule="auto"/>
        <w:ind w:firstLine="643" w:firstLineChars="200"/>
        <w:jc w:val="both"/>
        <w:textAlignment w:val="baseline"/>
        <w:rPr>
          <w:rStyle w:val="6"/>
          <w:rFonts w:ascii="仿宋_GB2312" w:eastAsia="仿宋_GB2312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/>
          <w:b/>
          <w:color w:val="000000"/>
          <w:kern w:val="0"/>
          <w:sz w:val="32"/>
          <w:szCs w:val="32"/>
          <w:lang w:val="en-US" w:eastAsia="zh-CN" w:bidi="ar-SA"/>
        </w:rPr>
        <w:t>（三）绩效目标设置情况</w:t>
      </w:r>
    </w:p>
    <w:p>
      <w:pPr>
        <w:spacing w:line="580" w:lineRule="exact"/>
        <w:ind w:firstLine="640" w:firstLineChars="200"/>
        <w:jc w:val="both"/>
        <w:textAlignment w:val="baseline"/>
        <w:rPr>
          <w:rStyle w:val="9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 xml:space="preserve">2020年，我部门纳入预算绩效管理的支出总额为 </w:t>
      </w:r>
      <w:r>
        <w:rPr>
          <w:rStyle w:val="9"/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141.2</w:t>
      </w:r>
      <w:r>
        <w:rPr>
          <w:rStyle w:val="9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万元，支出项目共</w:t>
      </w:r>
      <w:r>
        <w:rPr>
          <w:rStyle w:val="9"/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Style w:val="9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个，支出总额</w:t>
      </w:r>
      <w:r>
        <w:rPr>
          <w:rStyle w:val="9"/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141.2</w:t>
      </w:r>
      <w:r>
        <w:rPr>
          <w:rStyle w:val="9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万元。</w:t>
      </w:r>
    </w:p>
    <w:p>
      <w:pPr>
        <w:spacing w:line="360" w:lineRule="auto"/>
        <w:ind w:firstLine="643" w:firstLineChars="200"/>
        <w:jc w:val="both"/>
        <w:textAlignment w:val="baseline"/>
        <w:rPr>
          <w:rStyle w:val="6"/>
          <w:rFonts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（四）国有资产占用情况说明</w:t>
      </w:r>
    </w:p>
    <w:p>
      <w:pPr>
        <w:spacing w:line="360" w:lineRule="auto"/>
        <w:ind w:firstLine="640" w:firstLineChars="200"/>
        <w:jc w:val="both"/>
        <w:textAlignment w:val="baseline"/>
        <w:rPr>
          <w:rStyle w:val="9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  <w:t>2019年期末，我单位共有车辆3辆，其中：一般公务用车0辆、 一般执法执勤用车3辆、特种专业技术用车0辆、其他用车0辆，单价50万元以上设备0台，单位价值100万元以上专用设备0台。</w:t>
      </w:r>
    </w:p>
    <w:p>
      <w:pPr>
        <w:snapToGrid w:val="0"/>
        <w:spacing w:line="360" w:lineRule="auto"/>
        <w:ind w:firstLine="643" w:firstLineChars="200"/>
        <w:jc w:val="both"/>
        <w:textAlignment w:val="baseline"/>
        <w:rPr>
          <w:rStyle w:val="6"/>
          <w:rFonts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b/>
          <w:color w:val="000000"/>
          <w:kern w:val="2"/>
          <w:sz w:val="32"/>
          <w:szCs w:val="32"/>
          <w:lang w:val="en-US" w:eastAsia="zh-CN" w:bidi="ar-SA"/>
        </w:rPr>
        <w:t>（五）专项转移支付项目情况</w:t>
      </w:r>
    </w:p>
    <w:p>
      <w:pPr>
        <w:widowControl/>
        <w:spacing w:line="580" w:lineRule="exact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816" w:right="1800" w:bottom="1440" w:left="1800" w:header="851" w:footer="992" w:gutter="0"/>
          <w:lnNumType w:countBy="0"/>
          <w:cols w:space="425" w:num="1"/>
          <w:vAlign w:val="top"/>
          <w:docGrid w:type="lines" w:linePitch="312" w:charSpace="0"/>
        </w:sectPr>
      </w:pPr>
      <w:r>
        <w:rPr>
          <w:rStyle w:val="6"/>
          <w:rFonts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我部门无专项转移支付项目。</w:t>
      </w:r>
    </w:p>
    <w:p>
      <w:pPr>
        <w:widowControl/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第三部分</w:t>
      </w:r>
    </w:p>
    <w:p>
      <w:pPr>
        <w:snapToGrid w:val="0"/>
        <w:spacing w:line="360" w:lineRule="auto"/>
        <w:jc w:val="center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名词解释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一、财政拨款收入：是指县级财政当年拨付的资金。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二、事业收入：是指事业单位开展专业活动及辅助活动所取得的收入。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 xml:space="preserve">三、其他收入：是指部门取得的除“财政拨款”、“事业收入”、“事业单位经营收入”等以外的收入。 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五、基本支出：是指为保障机构正常运转、完成日常工作任务所必需的开支，其内容包括人员经费和日常公用经费两部分。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六、项目支出：是指在基本支出之外，为完成特定的行政工作任务或事业发展目标所发生的支出。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snapToGrid w:val="0"/>
        <w:spacing w:line="360" w:lineRule="auto"/>
        <w:ind w:firstLine="640" w:firstLineChars="200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both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附件：</w:t>
      </w:r>
    </w:p>
    <w:p>
      <w:pPr>
        <w:snapToGrid w:val="0"/>
        <w:spacing w:line="360" w:lineRule="auto"/>
        <w:ind w:firstLine="1440" w:firstLineChars="450"/>
        <w:jc w:val="left"/>
        <w:textAlignment w:val="baseline"/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黑体" w:hAnsi="黑体" w:eastAsia="黑体"/>
          <w:color w:val="000000"/>
          <w:kern w:val="2"/>
          <w:sz w:val="32"/>
          <w:szCs w:val="32"/>
          <w:lang w:val="en-US" w:eastAsia="zh-CN" w:bidi="ar-SA"/>
        </w:rPr>
        <w:t>获嘉县司法局2020年部门预算表</w:t>
      </w:r>
    </w:p>
    <w:p>
      <w:pPr>
        <w:spacing w:line="360" w:lineRule="auto"/>
        <w:ind w:firstLine="640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360" w:lineRule="auto"/>
        <w:ind w:firstLine="640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3" w:firstLineChars="200"/>
        <w:jc w:val="both"/>
        <w:textAlignment w:val="baseline"/>
        <w:rPr>
          <w:rStyle w:val="6"/>
          <w:rFonts w:ascii="仿宋_GB2312" w:hAnsi="仿宋" w:eastAsia="仿宋_GB2312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line="360" w:lineRule="auto"/>
        <w:jc w:val="both"/>
        <w:textAlignment w:val="baseline"/>
        <w:rPr>
          <w:rStyle w:val="6"/>
          <w:rFonts w:ascii="仿宋_GB2312" w:eastAsia="仿宋_GB2312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816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6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evenAndOddHeaders w:val="1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A3050EB"/>
    <w:rsid w:val="124308BE"/>
    <w:rsid w:val="12C07DE1"/>
    <w:rsid w:val="150F3A79"/>
    <w:rsid w:val="23366B2E"/>
    <w:rsid w:val="29737833"/>
    <w:rsid w:val="34A37A23"/>
    <w:rsid w:val="386B2945"/>
    <w:rsid w:val="3BB27083"/>
    <w:rsid w:val="3E11385D"/>
    <w:rsid w:val="46D71103"/>
    <w:rsid w:val="544F1AB4"/>
    <w:rsid w:val="55D67A30"/>
    <w:rsid w:val="56F62D1E"/>
    <w:rsid w:val="688A5C31"/>
    <w:rsid w:val="75055C69"/>
    <w:rsid w:val="77F82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link w:val="3"/>
    <w:qFormat/>
    <w:uiPriority w:val="0"/>
    <w:rPr>
      <w:kern w:val="2"/>
      <w:sz w:val="18"/>
      <w:szCs w:val="18"/>
    </w:rPr>
  </w:style>
  <w:style w:type="character" w:customStyle="1" w:styleId="9">
    <w:name w:val="UserStyle_1"/>
    <w:link w:val="1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0">
    <w:name w:val="UserStyle_2"/>
    <w:link w:val="2"/>
    <w:qFormat/>
    <w:uiPriority w:val="0"/>
    <w:rPr>
      <w:kern w:val="2"/>
      <w:sz w:val="18"/>
      <w:szCs w:val="18"/>
    </w:rPr>
  </w:style>
  <w:style w:type="character" w:customStyle="1" w:styleId="11">
    <w:name w:val="UserStyle_3"/>
    <w:link w:val="12"/>
    <w:qFormat/>
    <w:uiPriority w:val="0"/>
    <w:rPr>
      <w:kern w:val="2"/>
      <w:sz w:val="18"/>
      <w:szCs w:val="18"/>
    </w:rPr>
  </w:style>
  <w:style w:type="paragraph" w:customStyle="1" w:styleId="12">
    <w:name w:val="Acetate"/>
    <w:basedOn w:val="1"/>
    <w:link w:val="1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13">
    <w:name w:val="HtmlNormal"/>
    <w:basedOn w:val="1"/>
    <w:qFormat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customStyle="1" w:styleId="14">
    <w:name w:val="UserStyle_4"/>
    <w:basedOn w:val="1"/>
    <w:qFormat/>
    <w:uiPriority w:val="0"/>
    <w:pPr>
      <w:tabs>
        <w:tab w:val="left" w:pos="360"/>
      </w:tabs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customStyle="1" w:styleId="15">
    <w:name w:val="UserStyle_5"/>
    <w:basedOn w:val="1"/>
    <w:qFormat/>
    <w:uiPriority w:val="0"/>
    <w:pPr>
      <w:tabs>
        <w:tab w:val="left" w:pos="360"/>
      </w:tabs>
      <w:jc w:val="both"/>
      <w:textAlignment w:val="baseline"/>
    </w:pPr>
    <w:rPr>
      <w:kern w:val="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2020-12-05T07:52:00Z</dcterms:created>
  <dc:creator>Administrator</dc:creator>
  <cp:lastModifiedBy>Administrator</cp:lastModifiedBy>
  <dcterms:modified xsi:type="dcterms:W3CDTF">2020-06-09T00:28:58Z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