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240270" cy="101346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
                    <a:stretch>
                      <a:fillRect/>
                    </a:stretch>
                  </pic:blipFill>
                  <pic:spPr>
                    <a:xfrm>
                      <a:off x="0" y="0"/>
                      <a:ext cx="7249231" cy="10146652"/>
                    </a:xfrm>
                    <a:prstGeom prst="rect">
                      <a:avLst/>
                    </a:prstGeom>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199630" cy="10270490"/>
            <wp:effectExtent l="0" t="0" r="1270" b="0"/>
            <wp:docPr id="88" name="图片 8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文本&#10;&#10;描述已自动生成"/>
                    <pic:cNvPicPr>
                      <a:picLocks noChangeAspect="1" noChangeArrowheads="1"/>
                    </pic:cNvPicPr>
                  </pic:nvPicPr>
                  <pic:blipFill>
                    <a:blip r:embed="rId7" cstate="email"/>
                    <a:srcRect/>
                    <a:stretch>
                      <a:fillRect/>
                    </a:stretch>
                  </pic:blipFill>
                  <pic:spPr>
                    <a:xfrm>
                      <a:off x="0" y="0"/>
                      <a:ext cx="7199630" cy="10270490"/>
                    </a:xfrm>
                    <a:prstGeom prst="rect">
                      <a:avLst/>
                    </a:prstGeom>
                    <a:noFill/>
                    <a:ln>
                      <a:noFill/>
                    </a:ln>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199630" cy="10271760"/>
            <wp:effectExtent l="0" t="0" r="1270" b="0"/>
            <wp:docPr id="105" name="图片 10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图示&#10;&#10;描述已自动生成"/>
                    <pic:cNvPicPr>
                      <a:picLocks noChangeAspect="1"/>
                    </pic:cNvPicPr>
                  </pic:nvPicPr>
                  <pic:blipFill>
                    <a:blip r:embed="rId8" cstate="email"/>
                    <a:stretch>
                      <a:fillRect/>
                    </a:stretch>
                  </pic:blipFill>
                  <pic:spPr>
                    <a:xfrm>
                      <a:off x="0" y="0"/>
                      <a:ext cx="7199630" cy="10271760"/>
                    </a:xfrm>
                    <a:prstGeom prst="rect">
                      <a:avLst/>
                    </a:prstGeom>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199630" cy="10161905"/>
            <wp:effectExtent l="0" t="0" r="1270" b="0"/>
            <wp:docPr id="106" name="图片 106"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片包含 日历&#10;&#10;描述已自动生成"/>
                    <pic:cNvPicPr>
                      <a:picLocks noChangeAspect="1" noChangeArrowheads="1"/>
                    </pic:cNvPicPr>
                  </pic:nvPicPr>
                  <pic:blipFill>
                    <a:blip r:embed="rId9" cstate="email"/>
                    <a:srcRect/>
                    <a:stretch>
                      <a:fillRect/>
                    </a:stretch>
                  </pic:blipFill>
                  <pic:spPr>
                    <a:xfrm>
                      <a:off x="0" y="0"/>
                      <a:ext cx="7199630" cy="10161905"/>
                    </a:xfrm>
                    <a:prstGeom prst="rect">
                      <a:avLst/>
                    </a:prstGeom>
                    <a:noFill/>
                    <a:ln>
                      <a:noFill/>
                    </a:ln>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199630" cy="10175875"/>
            <wp:effectExtent l="0" t="0" r="1270" b="0"/>
            <wp:docPr id="107" name="图片 10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表格&#10;&#10;描述已自动生成"/>
                    <pic:cNvPicPr>
                      <a:picLocks noChangeAspect="1" noChangeArrowheads="1"/>
                    </pic:cNvPicPr>
                  </pic:nvPicPr>
                  <pic:blipFill>
                    <a:blip r:embed="rId10" cstate="email"/>
                    <a:srcRect/>
                    <a:stretch>
                      <a:fillRect/>
                    </a:stretch>
                  </pic:blipFill>
                  <pic:spPr>
                    <a:xfrm>
                      <a:off x="0" y="0"/>
                      <a:ext cx="7199630" cy="10175875"/>
                    </a:xfrm>
                    <a:prstGeom prst="rect">
                      <a:avLst/>
                    </a:prstGeom>
                    <a:noFill/>
                    <a:ln>
                      <a:noFill/>
                    </a:ln>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pPr>
      <w:r>
        <w:drawing>
          <wp:inline distT="0" distB="0" distL="0" distR="0">
            <wp:extent cx="7199630" cy="10170160"/>
            <wp:effectExtent l="0" t="0" r="1270" b="2540"/>
            <wp:docPr id="108" name="图片 108"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一些文字和图片的手机截图&#10;&#10;中度可信度描述已自动生成"/>
                    <pic:cNvPicPr>
                      <a:picLocks noChangeAspect="1" noChangeArrowheads="1"/>
                    </pic:cNvPicPr>
                  </pic:nvPicPr>
                  <pic:blipFill>
                    <a:blip r:embed="rId11" cstate="email"/>
                    <a:srcRect/>
                    <a:stretch>
                      <a:fillRect/>
                    </a:stretch>
                  </pic:blipFill>
                  <pic:spPr>
                    <a:xfrm>
                      <a:off x="0" y="0"/>
                      <a:ext cx="7199630" cy="10170160"/>
                    </a:xfrm>
                    <a:prstGeom prst="rect">
                      <a:avLst/>
                    </a:prstGeom>
                    <a:noFill/>
                    <a:ln>
                      <a:noFill/>
                    </a:ln>
                  </pic:spPr>
                </pic:pic>
              </a:graphicData>
            </a:graphic>
          </wp:inline>
        </w:drawing>
      </w:r>
    </w:p>
    <w:p>
      <w:pPr>
        <w:pStyle w:val="14"/>
        <w:adjustRightInd w:val="0"/>
        <w:snapToGrid w:val="0"/>
        <w:spacing w:before="0" w:beforeAutospacing="0" w:after="0" w:afterAutospacing="0"/>
        <w:jc w:val="center"/>
        <w:rPr>
          <w:rFonts w:ascii="Times New Roman" w:hAnsi="Times New Roman"/>
          <w:snapToGrid w:val="0"/>
          <w:sz w:val="21"/>
          <w:szCs w:val="21"/>
        </w:rPr>
        <w:sectPr>
          <w:footerReference r:id="rId3" w:type="default"/>
          <w:pgSz w:w="11906" w:h="16838"/>
          <w:pgMar w:top="284" w:right="284" w:bottom="284" w:left="284" w:header="851" w:footer="1077" w:gutter="0"/>
          <w:pgNumType w:start="1"/>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3521"/>
        <w:gridCol w:w="992"/>
        <w:gridCol w:w="3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建设项目名称</w:t>
            </w:r>
          </w:p>
        </w:tc>
        <w:tc>
          <w:tcPr>
            <w:tcW w:w="7723" w:type="dxa"/>
            <w:gridSpan w:val="3"/>
            <w:tcMar>
              <w:left w:w="28" w:type="dxa"/>
              <w:right w:w="28" w:type="dxa"/>
            </w:tcMar>
            <w:vAlign w:val="center"/>
          </w:tcPr>
          <w:p>
            <w:pPr>
              <w:adjustRightInd w:val="0"/>
              <w:snapToGrid w:val="0"/>
              <w:jc w:val="center"/>
              <w:rPr>
                <w:rFonts w:cs="宋体"/>
                <w:szCs w:val="21"/>
              </w:rPr>
            </w:pPr>
            <w:r>
              <w:rPr>
                <w:rFonts w:hint="eastAsia" w:cs="宋体"/>
                <w:szCs w:val="21"/>
              </w:rPr>
              <w:t>年产1</w:t>
            </w:r>
            <w:r>
              <w:rPr>
                <w:rFonts w:cs="宋体"/>
                <w:szCs w:val="21"/>
              </w:rPr>
              <w:t>000</w:t>
            </w:r>
            <w:r>
              <w:rPr>
                <w:rFonts w:hint="eastAsia" w:cs="宋体"/>
                <w:szCs w:val="21"/>
              </w:rPr>
              <w:t>万支口罩建设项目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项目代码</w:t>
            </w:r>
          </w:p>
        </w:tc>
        <w:tc>
          <w:tcPr>
            <w:tcW w:w="7723" w:type="dxa"/>
            <w:gridSpan w:val="3"/>
            <w:tcMar>
              <w:left w:w="28" w:type="dxa"/>
              <w:right w:w="28" w:type="dxa"/>
            </w:tcMar>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建设单位联系人</w:t>
            </w:r>
          </w:p>
        </w:tc>
        <w:tc>
          <w:tcPr>
            <w:tcW w:w="3521" w:type="dxa"/>
            <w:tcMar>
              <w:left w:w="28" w:type="dxa"/>
              <w:right w:w="28" w:type="dxa"/>
            </w:tcMar>
            <w:vAlign w:val="center"/>
          </w:tcPr>
          <w:p>
            <w:pPr>
              <w:adjustRightInd w:val="0"/>
              <w:snapToGrid w:val="0"/>
              <w:jc w:val="center"/>
              <w:rPr>
                <w:rFonts w:cs="宋体"/>
                <w:szCs w:val="21"/>
              </w:rPr>
            </w:pPr>
            <w:r>
              <w:rPr>
                <w:rFonts w:hint="eastAsia" w:cs="宋体"/>
                <w:szCs w:val="21"/>
              </w:rPr>
              <w:t>王春玲</w:t>
            </w:r>
          </w:p>
        </w:tc>
        <w:tc>
          <w:tcPr>
            <w:tcW w:w="992" w:type="dxa"/>
            <w:tcMar>
              <w:left w:w="28" w:type="dxa"/>
              <w:right w:w="28" w:type="dxa"/>
            </w:tcMar>
            <w:vAlign w:val="center"/>
          </w:tcPr>
          <w:p>
            <w:pPr>
              <w:adjustRightInd w:val="0"/>
              <w:snapToGrid w:val="0"/>
              <w:jc w:val="center"/>
              <w:rPr>
                <w:rFonts w:cs="宋体"/>
                <w:szCs w:val="21"/>
              </w:rPr>
            </w:pPr>
            <w:r>
              <w:rPr>
                <w:rFonts w:hint="eastAsia" w:cs="宋体"/>
                <w:szCs w:val="21"/>
              </w:rPr>
              <w:t>联系方式</w:t>
            </w:r>
          </w:p>
        </w:tc>
        <w:tc>
          <w:tcPr>
            <w:tcW w:w="3210" w:type="dxa"/>
            <w:tcMar>
              <w:left w:w="28" w:type="dxa"/>
              <w:right w:w="28" w:type="dxa"/>
            </w:tcMar>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法人代表</w:t>
            </w:r>
          </w:p>
        </w:tc>
        <w:tc>
          <w:tcPr>
            <w:tcW w:w="7723" w:type="dxa"/>
            <w:gridSpan w:val="3"/>
            <w:tcMar>
              <w:left w:w="28" w:type="dxa"/>
              <w:right w:w="28" w:type="dxa"/>
            </w:tcMar>
            <w:vAlign w:val="center"/>
          </w:tcPr>
          <w:p>
            <w:pPr>
              <w:adjustRightInd w:val="0"/>
              <w:snapToGrid w:val="0"/>
              <w:jc w:val="center"/>
              <w:rPr>
                <w:rFonts w:cs="宋体"/>
                <w:szCs w:val="21"/>
              </w:rPr>
            </w:pPr>
            <w:r>
              <w:rPr>
                <w:rFonts w:hint="eastAsia" w:cs="宋体"/>
                <w:szCs w:val="21"/>
              </w:rPr>
              <w:t>张明泉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建设地点</w:t>
            </w:r>
          </w:p>
        </w:tc>
        <w:tc>
          <w:tcPr>
            <w:tcW w:w="7723" w:type="dxa"/>
            <w:gridSpan w:val="3"/>
            <w:tcMar>
              <w:left w:w="28" w:type="dxa"/>
              <w:right w:w="28" w:type="dxa"/>
            </w:tcMar>
            <w:vAlign w:val="center"/>
          </w:tcPr>
          <w:p>
            <w:pPr>
              <w:adjustRightInd w:val="0"/>
              <w:snapToGrid w:val="0"/>
              <w:jc w:val="center"/>
              <w:rPr>
                <w:rFonts w:cs="宋体"/>
                <w:szCs w:val="21"/>
              </w:rPr>
            </w:pPr>
            <w:r>
              <w:rPr>
                <w:rFonts w:hint="eastAsia" w:cs="宋体"/>
                <w:szCs w:val="21"/>
              </w:rPr>
              <w:t>新乡市获嘉县亢村镇产业新城纬八路2号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地理坐标</w:t>
            </w:r>
          </w:p>
        </w:tc>
        <w:tc>
          <w:tcPr>
            <w:tcW w:w="7723" w:type="dxa"/>
            <w:gridSpan w:val="3"/>
            <w:tcMar>
              <w:left w:w="28" w:type="dxa"/>
              <w:right w:w="28" w:type="dxa"/>
            </w:tcMar>
            <w:vAlign w:val="center"/>
          </w:tcPr>
          <w:p>
            <w:pPr>
              <w:snapToGrid w:val="0"/>
              <w:jc w:val="center"/>
              <w:rPr>
                <w:rFonts w:cs="宋体"/>
                <w:szCs w:val="21"/>
              </w:rPr>
            </w:pPr>
            <w:r>
              <w:rPr>
                <w:rFonts w:hint="eastAsia" w:cs="宋体"/>
                <w:szCs w:val="21"/>
              </w:rPr>
              <w:t>（经度</w:t>
            </w:r>
            <w:r>
              <w:rPr>
                <w:rFonts w:cs="宋体"/>
                <w:szCs w:val="21"/>
                <w:u w:val="single"/>
              </w:rPr>
              <w:t xml:space="preserve"> </w:t>
            </w:r>
            <w:r>
              <w:rPr>
                <w:rFonts w:hint="eastAsia" w:cs="宋体"/>
                <w:szCs w:val="21"/>
                <w:u w:val="single"/>
              </w:rPr>
              <w:t>1</w:t>
            </w:r>
            <w:r>
              <w:rPr>
                <w:rFonts w:cs="宋体"/>
                <w:szCs w:val="21"/>
                <w:u w:val="single"/>
              </w:rPr>
              <w:t xml:space="preserve">13 </w:t>
            </w:r>
            <w:r>
              <w:rPr>
                <w:rFonts w:hint="eastAsia" w:cs="宋体"/>
                <w:szCs w:val="21"/>
              </w:rPr>
              <w:t>度</w:t>
            </w:r>
            <w:r>
              <w:rPr>
                <w:rFonts w:cs="宋体"/>
                <w:szCs w:val="21"/>
                <w:u w:val="single"/>
              </w:rPr>
              <w:t xml:space="preserve"> 42 </w:t>
            </w:r>
            <w:r>
              <w:rPr>
                <w:rFonts w:hint="eastAsia" w:cs="宋体"/>
                <w:szCs w:val="21"/>
              </w:rPr>
              <w:t>分</w:t>
            </w:r>
            <w:r>
              <w:rPr>
                <w:rFonts w:cs="宋体"/>
                <w:szCs w:val="21"/>
                <w:u w:val="single"/>
              </w:rPr>
              <w:t xml:space="preserve"> 30.201 </w:t>
            </w:r>
            <w:r>
              <w:rPr>
                <w:rFonts w:hint="eastAsia" w:cs="宋体"/>
                <w:szCs w:val="21"/>
              </w:rPr>
              <w:t>秒，纬度</w:t>
            </w:r>
            <w:r>
              <w:rPr>
                <w:rFonts w:cs="宋体"/>
                <w:szCs w:val="21"/>
                <w:u w:val="single"/>
              </w:rPr>
              <w:t xml:space="preserve"> </w:t>
            </w:r>
            <w:r>
              <w:rPr>
                <w:rFonts w:hint="eastAsia" w:cs="宋体"/>
                <w:szCs w:val="21"/>
                <w:u w:val="single"/>
              </w:rPr>
              <w:t>3</w:t>
            </w:r>
            <w:r>
              <w:rPr>
                <w:rFonts w:cs="宋体"/>
                <w:szCs w:val="21"/>
                <w:u w:val="single"/>
              </w:rPr>
              <w:t xml:space="preserve">5 </w:t>
            </w:r>
            <w:r>
              <w:rPr>
                <w:rFonts w:hint="eastAsia" w:cs="宋体"/>
                <w:szCs w:val="21"/>
              </w:rPr>
              <w:t>度</w:t>
            </w:r>
            <w:r>
              <w:rPr>
                <w:rFonts w:cs="宋体"/>
                <w:szCs w:val="21"/>
                <w:u w:val="single"/>
              </w:rPr>
              <w:t xml:space="preserve"> 5</w:t>
            </w:r>
            <w:r>
              <w:rPr>
                <w:rFonts w:hint="eastAsia" w:cs="宋体"/>
                <w:szCs w:val="21"/>
                <w:u w:val="single"/>
              </w:rPr>
              <w:t xml:space="preserve"> </w:t>
            </w:r>
            <w:r>
              <w:rPr>
                <w:rFonts w:hint="eastAsia" w:cs="宋体"/>
                <w:szCs w:val="21"/>
              </w:rPr>
              <w:t>分</w:t>
            </w:r>
            <w:r>
              <w:rPr>
                <w:rFonts w:cs="宋体"/>
                <w:szCs w:val="21"/>
                <w:u w:val="single"/>
              </w:rPr>
              <w:t xml:space="preserve"> 41.350 </w:t>
            </w:r>
            <w:r>
              <w:rPr>
                <w:rFonts w:hint="eastAsia"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国民经济</w:t>
            </w:r>
          </w:p>
          <w:p>
            <w:pPr>
              <w:adjustRightInd w:val="0"/>
              <w:snapToGrid w:val="0"/>
              <w:jc w:val="center"/>
              <w:rPr>
                <w:rFonts w:cs="宋体"/>
                <w:szCs w:val="21"/>
              </w:rPr>
            </w:pPr>
            <w:r>
              <w:rPr>
                <w:rFonts w:hint="eastAsia" w:cs="宋体"/>
                <w:szCs w:val="21"/>
              </w:rPr>
              <w:t>行业类别</w:t>
            </w:r>
          </w:p>
        </w:tc>
        <w:tc>
          <w:tcPr>
            <w:tcW w:w="3521" w:type="dxa"/>
            <w:tcMar>
              <w:left w:w="28" w:type="dxa"/>
              <w:right w:w="28" w:type="dxa"/>
            </w:tcMar>
            <w:vAlign w:val="center"/>
          </w:tcPr>
          <w:p>
            <w:pPr>
              <w:adjustRightInd w:val="0"/>
              <w:snapToGrid w:val="0"/>
              <w:jc w:val="center"/>
              <w:rPr>
                <w:rFonts w:cs="宋体"/>
                <w:szCs w:val="21"/>
              </w:rPr>
            </w:pPr>
            <w:r>
              <w:rPr>
                <w:rFonts w:hint="eastAsia" w:cs="宋体"/>
                <w:szCs w:val="21"/>
              </w:rPr>
              <w:t>C</w:t>
            </w:r>
            <w:r>
              <w:rPr>
                <w:rFonts w:cs="宋体"/>
                <w:szCs w:val="21"/>
              </w:rPr>
              <w:t>2770</w:t>
            </w:r>
            <w:r>
              <w:rPr>
                <w:rFonts w:hint="eastAsia" w:cs="宋体"/>
                <w:szCs w:val="21"/>
              </w:rPr>
              <w:t>卫生材料及医药用品制造</w:t>
            </w:r>
          </w:p>
        </w:tc>
        <w:tc>
          <w:tcPr>
            <w:tcW w:w="992" w:type="dxa"/>
            <w:tcMar>
              <w:left w:w="28" w:type="dxa"/>
              <w:right w:w="28" w:type="dxa"/>
            </w:tcMar>
            <w:vAlign w:val="center"/>
          </w:tcPr>
          <w:p>
            <w:pPr>
              <w:adjustRightInd w:val="0"/>
              <w:snapToGrid w:val="0"/>
              <w:jc w:val="center"/>
              <w:rPr>
                <w:rFonts w:cs="宋体"/>
                <w:szCs w:val="21"/>
              </w:rPr>
            </w:pPr>
            <w:bookmarkStart w:id="0" w:name="_Hlk49843745"/>
            <w:r>
              <w:rPr>
                <w:rFonts w:hint="eastAsia" w:cs="宋体"/>
                <w:szCs w:val="21"/>
              </w:rPr>
              <w:t>建设项目</w:t>
            </w:r>
          </w:p>
          <w:p>
            <w:pPr>
              <w:adjustRightInd w:val="0"/>
              <w:snapToGrid w:val="0"/>
              <w:jc w:val="center"/>
              <w:rPr>
                <w:rFonts w:cs="宋体"/>
                <w:szCs w:val="21"/>
              </w:rPr>
            </w:pPr>
            <w:r>
              <w:rPr>
                <w:rFonts w:hint="eastAsia" w:cs="宋体"/>
                <w:szCs w:val="21"/>
              </w:rPr>
              <w:t>行业类别</w:t>
            </w:r>
            <w:bookmarkEnd w:id="0"/>
          </w:p>
        </w:tc>
        <w:tc>
          <w:tcPr>
            <w:tcW w:w="3210" w:type="dxa"/>
            <w:tcMar>
              <w:left w:w="28" w:type="dxa"/>
              <w:right w:w="28" w:type="dxa"/>
            </w:tcMar>
            <w:vAlign w:val="center"/>
          </w:tcPr>
          <w:p>
            <w:pPr>
              <w:adjustRightInd w:val="0"/>
              <w:snapToGrid w:val="0"/>
              <w:rPr>
                <w:rFonts w:cs="宋体"/>
                <w:szCs w:val="21"/>
              </w:rPr>
            </w:pPr>
            <w:r>
              <w:rPr>
                <w:szCs w:val="21"/>
              </w:rPr>
              <w:t>二十</w:t>
            </w:r>
            <w:r>
              <w:rPr>
                <w:rFonts w:hint="eastAsia"/>
                <w:szCs w:val="21"/>
              </w:rPr>
              <w:t>四</w:t>
            </w:r>
            <w:r>
              <w:rPr>
                <w:szCs w:val="21"/>
              </w:rPr>
              <w:t>、</w:t>
            </w:r>
            <w:r>
              <w:rPr>
                <w:rFonts w:hint="eastAsia"/>
                <w:szCs w:val="21"/>
              </w:rPr>
              <w:t>“医药制造</w:t>
            </w:r>
            <w:r>
              <w:rPr>
                <w:szCs w:val="21"/>
              </w:rPr>
              <w:t>业</w:t>
            </w:r>
            <w:r>
              <w:rPr>
                <w:rFonts w:hint="eastAsia"/>
                <w:szCs w:val="21"/>
              </w:rPr>
              <w:t>2</w:t>
            </w:r>
            <w:r>
              <w:rPr>
                <w:szCs w:val="21"/>
              </w:rPr>
              <w:t>7</w:t>
            </w:r>
            <w:r>
              <w:rPr>
                <w:rFonts w:hint="eastAsia"/>
                <w:szCs w:val="21"/>
              </w:rPr>
              <w:t>”</w:t>
            </w:r>
            <w:r>
              <w:rPr>
                <w:szCs w:val="21"/>
              </w:rPr>
              <w:t>：第49条</w:t>
            </w:r>
            <w:r>
              <w:rPr>
                <w:rFonts w:hint="eastAsia"/>
                <w:szCs w:val="21"/>
              </w:rPr>
              <w:t>“</w:t>
            </w:r>
            <w:r>
              <w:rPr>
                <w:rFonts w:hint="eastAsia" w:cs="宋体"/>
                <w:szCs w:val="21"/>
              </w:rPr>
              <w:t>卫生材料及医药用品制造2</w:t>
            </w:r>
            <w:r>
              <w:rPr>
                <w:rFonts w:cs="宋体"/>
                <w:szCs w:val="21"/>
              </w:rPr>
              <w:t>77</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建设性质</w:t>
            </w:r>
          </w:p>
        </w:tc>
        <w:tc>
          <w:tcPr>
            <w:tcW w:w="3521" w:type="dxa"/>
            <w:tcMar>
              <w:left w:w="28" w:type="dxa"/>
              <w:right w:w="28" w:type="dxa"/>
            </w:tcMar>
            <w:vAlign w:val="center"/>
          </w:tcPr>
          <w:p>
            <w:pPr>
              <w:snapToGrid w:val="0"/>
              <w:jc w:val="left"/>
              <w:rPr>
                <w:rFonts w:cs="宋体"/>
                <w:szCs w:val="21"/>
              </w:rPr>
            </w:pPr>
            <w:r>
              <w:rPr>
                <w:rFonts w:hint="eastAsia" w:cs="宋体"/>
                <w:szCs w:val="21"/>
              </w:rPr>
              <w:t>□新建（迁建）</w:t>
            </w:r>
          </w:p>
          <w:p>
            <w:pPr>
              <w:snapToGrid w:val="0"/>
              <w:jc w:val="left"/>
              <w:rPr>
                <w:rFonts w:cs="宋体"/>
                <w:szCs w:val="21"/>
              </w:rPr>
            </w:pPr>
            <w:r>
              <w:rPr>
                <w:rFonts w:hint="eastAsia" w:cs="宋体"/>
                <w:szCs w:val="21"/>
              </w:rPr>
              <w:t>□改建</w:t>
            </w:r>
          </w:p>
          <w:p>
            <w:pPr>
              <w:snapToGrid w:val="0"/>
              <w:jc w:val="left"/>
              <w:rPr>
                <w:rFonts w:cs="宋体"/>
                <w:szCs w:val="21"/>
              </w:rPr>
            </w:pPr>
            <w:r>
              <w:rPr>
                <w:rFonts w:hint="eastAsia" w:ascii="MS Gothic" w:hAnsi="MS Gothic" w:eastAsia="MS Gothic"/>
                <w:sz w:val="24"/>
              </w:rPr>
              <w:t>☑</w:t>
            </w:r>
            <w:r>
              <w:rPr>
                <w:rFonts w:hint="eastAsia" w:cs="宋体"/>
                <w:szCs w:val="21"/>
              </w:rPr>
              <w:t>扩建</w:t>
            </w:r>
          </w:p>
          <w:p>
            <w:pPr>
              <w:snapToGrid w:val="0"/>
              <w:jc w:val="left"/>
              <w:rPr>
                <w:rFonts w:cs="宋体"/>
                <w:szCs w:val="21"/>
              </w:rPr>
            </w:pPr>
            <w:r>
              <w:rPr>
                <w:rFonts w:hint="eastAsia" w:cs="宋体"/>
                <w:szCs w:val="21"/>
              </w:rPr>
              <w:t>□技术改造</w:t>
            </w:r>
          </w:p>
        </w:tc>
        <w:tc>
          <w:tcPr>
            <w:tcW w:w="992" w:type="dxa"/>
            <w:tcMar>
              <w:left w:w="28" w:type="dxa"/>
              <w:right w:w="28" w:type="dxa"/>
            </w:tcMar>
            <w:vAlign w:val="center"/>
          </w:tcPr>
          <w:p>
            <w:pPr>
              <w:adjustRightInd w:val="0"/>
              <w:snapToGrid w:val="0"/>
              <w:jc w:val="center"/>
              <w:rPr>
                <w:rFonts w:cs="宋体"/>
                <w:szCs w:val="21"/>
              </w:rPr>
            </w:pPr>
            <w:r>
              <w:rPr>
                <w:rFonts w:hint="eastAsia" w:cs="宋体"/>
                <w:szCs w:val="21"/>
              </w:rPr>
              <w:t>建设项目</w:t>
            </w:r>
          </w:p>
          <w:p>
            <w:pPr>
              <w:adjustRightInd w:val="0"/>
              <w:snapToGrid w:val="0"/>
              <w:jc w:val="center"/>
              <w:rPr>
                <w:rFonts w:cs="宋体"/>
                <w:szCs w:val="21"/>
              </w:rPr>
            </w:pPr>
            <w:r>
              <w:rPr>
                <w:rFonts w:hint="eastAsia" w:cs="宋体"/>
                <w:szCs w:val="21"/>
              </w:rPr>
              <w:t>申报情形</w:t>
            </w:r>
          </w:p>
        </w:tc>
        <w:tc>
          <w:tcPr>
            <w:tcW w:w="3210" w:type="dxa"/>
            <w:tcMar>
              <w:left w:w="28" w:type="dxa"/>
              <w:right w:w="28" w:type="dxa"/>
            </w:tcMar>
            <w:vAlign w:val="center"/>
          </w:tcPr>
          <w:p>
            <w:pPr>
              <w:snapToGrid w:val="0"/>
              <w:jc w:val="left"/>
              <w:rPr>
                <w:rFonts w:cs="宋体"/>
                <w:szCs w:val="21"/>
              </w:rPr>
            </w:pPr>
            <w:r>
              <w:rPr>
                <w:rFonts w:hint="eastAsia" w:ascii="MS Gothic" w:hAnsi="MS Gothic" w:eastAsia="MS Gothic"/>
                <w:sz w:val="24"/>
              </w:rPr>
              <w:t>☑</w:t>
            </w:r>
            <w:r>
              <w:rPr>
                <w:rFonts w:hint="eastAsia" w:cs="宋体"/>
                <w:szCs w:val="21"/>
              </w:rPr>
              <w:t>首次申报项目</w:t>
            </w:r>
          </w:p>
          <w:p>
            <w:pPr>
              <w:snapToGrid w:val="0"/>
              <w:jc w:val="left"/>
              <w:rPr>
                <w:rFonts w:cs="宋体"/>
                <w:szCs w:val="21"/>
              </w:rPr>
            </w:pPr>
            <w:r>
              <w:rPr>
                <w:rFonts w:hint="eastAsia" w:cs="宋体"/>
                <w:szCs w:val="21"/>
              </w:rPr>
              <w:t>□不予批准后再次申报项目</w:t>
            </w:r>
          </w:p>
          <w:p>
            <w:pPr>
              <w:snapToGrid w:val="0"/>
              <w:jc w:val="left"/>
              <w:rPr>
                <w:rFonts w:cs="宋体"/>
                <w:szCs w:val="21"/>
              </w:rPr>
            </w:pPr>
            <w:r>
              <w:rPr>
                <w:rFonts w:hint="eastAsia" w:cs="宋体"/>
                <w:szCs w:val="21"/>
              </w:rPr>
              <w:sym w:font="Wingdings 2" w:char="00A3"/>
            </w:r>
            <w:r>
              <w:rPr>
                <w:rFonts w:hint="eastAsia" w:cs="宋体"/>
                <w:szCs w:val="21"/>
              </w:rPr>
              <w:t>超五年重新审核项目</w:t>
            </w:r>
          </w:p>
          <w:p>
            <w:pPr>
              <w:snapToGrid w:val="0"/>
              <w:jc w:val="left"/>
              <w:rPr>
                <w:rFonts w:cs="宋体"/>
                <w:szCs w:val="21"/>
              </w:rPr>
            </w:pPr>
            <w:r>
              <w:rPr>
                <w:rFonts w:hint="eastAsia"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备案）部门</w:t>
            </w:r>
          </w:p>
        </w:tc>
        <w:tc>
          <w:tcPr>
            <w:tcW w:w="3521" w:type="dxa"/>
            <w:tcMar>
              <w:left w:w="28" w:type="dxa"/>
              <w:right w:w="28" w:type="dxa"/>
            </w:tcMar>
            <w:vAlign w:val="center"/>
          </w:tcPr>
          <w:p>
            <w:pPr>
              <w:adjustRightInd w:val="0"/>
              <w:snapToGrid w:val="0"/>
              <w:jc w:val="center"/>
              <w:rPr>
                <w:rFonts w:cs="宋体"/>
                <w:szCs w:val="21"/>
              </w:rPr>
            </w:pPr>
            <w:r>
              <w:rPr>
                <w:rFonts w:hint="eastAsia" w:cs="宋体"/>
                <w:szCs w:val="21"/>
              </w:rPr>
              <w:t>获嘉县发展和改革委员会</w:t>
            </w:r>
          </w:p>
        </w:tc>
        <w:tc>
          <w:tcPr>
            <w:tcW w:w="992" w:type="dxa"/>
            <w:tcMar>
              <w:left w:w="28" w:type="dxa"/>
              <w:right w:w="28" w:type="dxa"/>
            </w:tcMar>
            <w:vAlign w:val="center"/>
          </w:tcPr>
          <w:p>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备案）文号</w:t>
            </w:r>
          </w:p>
        </w:tc>
        <w:tc>
          <w:tcPr>
            <w:tcW w:w="3210" w:type="dxa"/>
            <w:tcMar>
              <w:left w:w="28" w:type="dxa"/>
              <w:right w:w="28" w:type="dxa"/>
            </w:tcMar>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总投资（万元）</w:t>
            </w:r>
          </w:p>
        </w:tc>
        <w:tc>
          <w:tcPr>
            <w:tcW w:w="3521" w:type="dxa"/>
            <w:tcMar>
              <w:left w:w="28" w:type="dxa"/>
              <w:right w:w="28" w:type="dxa"/>
            </w:tcMar>
            <w:vAlign w:val="center"/>
          </w:tcPr>
          <w:p>
            <w:pPr>
              <w:adjustRightInd w:val="0"/>
              <w:snapToGrid w:val="0"/>
              <w:jc w:val="center"/>
              <w:rPr>
                <w:rFonts w:cs="宋体"/>
                <w:szCs w:val="21"/>
              </w:rPr>
            </w:pPr>
            <w:r>
              <w:rPr>
                <w:rFonts w:hint="eastAsia" w:cs="宋体"/>
                <w:szCs w:val="21"/>
              </w:rPr>
              <w:t>5</w:t>
            </w:r>
            <w:r>
              <w:rPr>
                <w:rFonts w:cs="宋体"/>
                <w:szCs w:val="21"/>
              </w:rPr>
              <w:t>00</w:t>
            </w:r>
            <w:r>
              <w:rPr>
                <w:rFonts w:hint="eastAsia" w:cs="宋体"/>
                <w:szCs w:val="21"/>
              </w:rPr>
              <w:t>（税收2</w:t>
            </w:r>
            <w:r>
              <w:rPr>
                <w:rFonts w:cs="宋体"/>
                <w:szCs w:val="21"/>
              </w:rPr>
              <w:t>5</w:t>
            </w:r>
            <w:r>
              <w:rPr>
                <w:rFonts w:hint="eastAsia" w:cs="宋体"/>
                <w:szCs w:val="21"/>
              </w:rPr>
              <w:t>万元）</w:t>
            </w:r>
          </w:p>
        </w:tc>
        <w:tc>
          <w:tcPr>
            <w:tcW w:w="992" w:type="dxa"/>
            <w:tcMar>
              <w:top w:w="16" w:type="dxa"/>
              <w:left w:w="28" w:type="dxa"/>
              <w:right w:w="28" w:type="dxa"/>
            </w:tcMar>
            <w:vAlign w:val="center"/>
          </w:tcPr>
          <w:p>
            <w:pPr>
              <w:adjustRightInd w:val="0"/>
              <w:snapToGrid w:val="0"/>
              <w:jc w:val="center"/>
              <w:rPr>
                <w:rFonts w:cs="宋体"/>
                <w:szCs w:val="21"/>
              </w:rPr>
            </w:pPr>
            <w:r>
              <w:rPr>
                <w:rFonts w:hint="eastAsia" w:cs="宋体"/>
                <w:szCs w:val="21"/>
              </w:rPr>
              <w:t>环保投资（万元）</w:t>
            </w:r>
          </w:p>
        </w:tc>
        <w:tc>
          <w:tcPr>
            <w:tcW w:w="3210" w:type="dxa"/>
            <w:tcMar>
              <w:left w:w="28" w:type="dxa"/>
              <w:right w:w="28" w:type="dxa"/>
            </w:tcMar>
            <w:vAlign w:val="center"/>
          </w:tcPr>
          <w:p>
            <w:pPr>
              <w:adjustRightInd w:val="0"/>
              <w:snapToGrid w:val="0"/>
              <w:jc w:val="center"/>
              <w:rPr>
                <w:rFonts w:cs="宋体"/>
                <w:szCs w:val="21"/>
              </w:rPr>
            </w:pPr>
            <w:r>
              <w:rPr>
                <w:rFonts w:cs="宋体"/>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环保投资占比（</w:t>
            </w:r>
            <w:r>
              <w:rPr>
                <w:rFonts w:cs="宋体"/>
                <w:szCs w:val="21"/>
              </w:rPr>
              <w:t>%</w:t>
            </w:r>
            <w:r>
              <w:rPr>
                <w:rFonts w:hint="eastAsia" w:cs="宋体"/>
                <w:szCs w:val="21"/>
              </w:rPr>
              <w:t>）</w:t>
            </w:r>
          </w:p>
        </w:tc>
        <w:tc>
          <w:tcPr>
            <w:tcW w:w="3521" w:type="dxa"/>
            <w:tcMar>
              <w:left w:w="28" w:type="dxa"/>
              <w:right w:w="28" w:type="dxa"/>
            </w:tcMar>
            <w:vAlign w:val="center"/>
          </w:tcPr>
          <w:p>
            <w:pPr>
              <w:adjustRightInd w:val="0"/>
              <w:snapToGrid w:val="0"/>
              <w:jc w:val="center"/>
              <w:rPr>
                <w:rFonts w:cs="宋体"/>
                <w:szCs w:val="21"/>
              </w:rPr>
            </w:pPr>
            <w:r>
              <w:rPr>
                <w:rFonts w:hint="eastAsia" w:cs="宋体"/>
                <w:szCs w:val="21"/>
              </w:rPr>
              <w:t>6</w:t>
            </w:r>
          </w:p>
        </w:tc>
        <w:tc>
          <w:tcPr>
            <w:tcW w:w="992" w:type="dxa"/>
            <w:tcMar>
              <w:top w:w="16" w:type="dxa"/>
              <w:left w:w="28" w:type="dxa"/>
              <w:right w:w="28" w:type="dxa"/>
            </w:tcMar>
            <w:vAlign w:val="center"/>
          </w:tcPr>
          <w:p>
            <w:pPr>
              <w:adjustRightInd w:val="0"/>
              <w:snapToGrid w:val="0"/>
              <w:jc w:val="center"/>
              <w:rPr>
                <w:rFonts w:cs="宋体"/>
                <w:szCs w:val="21"/>
              </w:rPr>
            </w:pPr>
            <w:r>
              <w:rPr>
                <w:rFonts w:hint="eastAsia" w:cs="宋体"/>
                <w:szCs w:val="21"/>
              </w:rPr>
              <w:t>施工工期</w:t>
            </w:r>
          </w:p>
        </w:tc>
        <w:tc>
          <w:tcPr>
            <w:tcW w:w="3210" w:type="dxa"/>
            <w:tcMar>
              <w:left w:w="28" w:type="dxa"/>
              <w:right w:w="28" w:type="dxa"/>
            </w:tcMar>
            <w:vAlign w:val="center"/>
          </w:tcPr>
          <w:p>
            <w:pPr>
              <w:adjustRightInd w:val="0"/>
              <w:snapToGrid w:val="0"/>
              <w:jc w:val="center"/>
              <w:rPr>
                <w:rFonts w:cs="宋体"/>
                <w:szCs w:val="21"/>
              </w:rPr>
            </w:pPr>
            <w:r>
              <w:rPr>
                <w:rFonts w:cs="宋体"/>
                <w:szCs w:val="21"/>
              </w:rPr>
              <w:t>2022</w:t>
            </w:r>
            <w:r>
              <w:rPr>
                <w:rFonts w:hint="eastAsia" w:cs="宋体"/>
                <w:szCs w:val="21"/>
              </w:rPr>
              <w:t>年</w:t>
            </w:r>
            <w:r>
              <w:rPr>
                <w:rFonts w:cs="宋体"/>
                <w:szCs w:val="21"/>
              </w:rPr>
              <w:t>9</w:t>
            </w:r>
            <w:r>
              <w:rPr>
                <w:rFonts w:hint="eastAsia" w:cs="宋体"/>
                <w:szCs w:val="21"/>
              </w:rPr>
              <w:t>月-</w:t>
            </w:r>
            <w:r>
              <w:rPr>
                <w:rFonts w:cs="宋体"/>
                <w:szCs w:val="21"/>
              </w:rPr>
              <w:t>2022</w:t>
            </w:r>
            <w:r>
              <w:rPr>
                <w:rFonts w:hint="eastAsia" w:cs="宋体"/>
                <w:szCs w:val="21"/>
              </w:rPr>
              <w:t>年</w:t>
            </w:r>
            <w:r>
              <w:rPr>
                <w:rFonts w:cs="宋体"/>
                <w:szCs w:val="21"/>
              </w:rPr>
              <w:t>10</w:t>
            </w:r>
            <w:r>
              <w:rPr>
                <w:rFonts w:hint="eastAsia" w:cs="宋体"/>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是否开工建设</w:t>
            </w:r>
          </w:p>
        </w:tc>
        <w:tc>
          <w:tcPr>
            <w:tcW w:w="3521" w:type="dxa"/>
            <w:tcMar>
              <w:left w:w="28" w:type="dxa"/>
              <w:right w:w="28" w:type="dxa"/>
            </w:tcMar>
            <w:vAlign w:val="center"/>
          </w:tcPr>
          <w:p>
            <w:pPr>
              <w:adjustRightInd w:val="0"/>
              <w:snapToGrid w:val="0"/>
              <w:rPr>
                <w:rFonts w:cs="宋体"/>
                <w:szCs w:val="21"/>
              </w:rPr>
            </w:pPr>
            <w:r>
              <w:rPr>
                <w:rFonts w:hint="eastAsia" w:cs="宋体"/>
                <w:szCs w:val="21"/>
              </w:rPr>
              <w:sym w:font="Wingdings 2" w:char="00A3"/>
            </w:r>
            <w:r>
              <w:rPr>
                <w:rFonts w:hint="eastAsia" w:cs="宋体"/>
                <w:szCs w:val="21"/>
              </w:rPr>
              <w:t>否</w:t>
            </w:r>
          </w:p>
          <w:p>
            <w:pPr>
              <w:adjustRightInd w:val="0"/>
              <w:snapToGrid w:val="0"/>
              <w:rPr>
                <w:rFonts w:cs="宋体"/>
                <w:szCs w:val="21"/>
              </w:rPr>
            </w:pPr>
            <w:r>
              <w:rPr>
                <w:rFonts w:hint="eastAsia" w:ascii="MS Gothic" w:hAnsi="MS Gothic" w:eastAsia="MS Gothic"/>
                <w:sz w:val="24"/>
              </w:rPr>
              <w:t>☑</w:t>
            </w:r>
            <w:r>
              <w:rPr>
                <w:rFonts w:hint="eastAsia" w:cs="宋体"/>
                <w:szCs w:val="21"/>
              </w:rPr>
              <w:t>是：</w:t>
            </w:r>
            <w:r>
              <w:rPr>
                <w:rFonts w:hint="eastAsia" w:cs="宋体"/>
                <w:szCs w:val="21"/>
                <w:u w:val="single"/>
              </w:rPr>
              <w:t>本项目存在未批先建，根据新乡市生态环境局行政处罚事先告知书：豫0724环罚告字[2022]</w:t>
            </w:r>
            <w:r>
              <w:rPr>
                <w:rFonts w:cs="宋体"/>
                <w:szCs w:val="21"/>
                <w:u w:val="single"/>
              </w:rPr>
              <w:t>35</w:t>
            </w:r>
            <w:r>
              <w:rPr>
                <w:rFonts w:hint="eastAsia" w:cs="宋体"/>
                <w:szCs w:val="21"/>
                <w:u w:val="single"/>
              </w:rPr>
              <w:t>号，现已缴纳罚款。（见附件</w:t>
            </w:r>
            <w:r>
              <w:rPr>
                <w:rFonts w:cs="宋体"/>
                <w:szCs w:val="21"/>
                <w:u w:val="single"/>
              </w:rPr>
              <w:t>4</w:t>
            </w:r>
            <w:r>
              <w:rPr>
                <w:rFonts w:hint="eastAsia" w:cs="宋体"/>
                <w:szCs w:val="21"/>
                <w:u w:val="single"/>
              </w:rPr>
              <w:t>）</w:t>
            </w:r>
          </w:p>
        </w:tc>
        <w:tc>
          <w:tcPr>
            <w:tcW w:w="992" w:type="dxa"/>
            <w:tcMar>
              <w:top w:w="16" w:type="dxa"/>
              <w:left w:w="28" w:type="dxa"/>
              <w:right w:w="28" w:type="dxa"/>
            </w:tcMar>
            <w:vAlign w:val="center"/>
          </w:tcPr>
          <w:p>
            <w:pPr>
              <w:adjustRightInd w:val="0"/>
              <w:snapToGrid w:val="0"/>
              <w:jc w:val="center"/>
              <w:rPr>
                <w:rFonts w:cs="宋体"/>
                <w:szCs w:val="21"/>
              </w:rPr>
            </w:pPr>
            <w:r>
              <w:rPr>
                <w:rFonts w:hint="eastAsia" w:cs="宋体"/>
                <w:spacing w:val="-6"/>
                <w:szCs w:val="21"/>
              </w:rPr>
              <w:t>用地（用海）面积（</w:t>
            </w:r>
            <w:r>
              <w:rPr>
                <w:rFonts w:cs="宋体"/>
                <w:spacing w:val="-6"/>
                <w:szCs w:val="21"/>
              </w:rPr>
              <w:t>m</w:t>
            </w:r>
            <w:r>
              <w:rPr>
                <w:rFonts w:cs="宋体"/>
                <w:spacing w:val="-6"/>
                <w:szCs w:val="21"/>
                <w:vertAlign w:val="superscript"/>
              </w:rPr>
              <w:t>2</w:t>
            </w:r>
            <w:r>
              <w:rPr>
                <w:rFonts w:hint="eastAsia" w:cs="宋体"/>
                <w:spacing w:val="-6"/>
                <w:szCs w:val="21"/>
              </w:rPr>
              <w:t>）</w:t>
            </w:r>
          </w:p>
        </w:tc>
        <w:tc>
          <w:tcPr>
            <w:tcW w:w="3210" w:type="dxa"/>
            <w:tcMar>
              <w:left w:w="28" w:type="dxa"/>
              <w:right w:w="28" w:type="dxa"/>
            </w:tcMar>
            <w:vAlign w:val="center"/>
          </w:tcPr>
          <w:p>
            <w:pPr>
              <w:adjustRightInd w:val="0"/>
              <w:snapToGrid w:val="0"/>
              <w:jc w:val="center"/>
              <w:rPr>
                <w:rFonts w:cs="宋体"/>
                <w:szCs w:val="21"/>
              </w:rPr>
            </w:pPr>
            <w:r>
              <w:rPr>
                <w:rFonts w:hint="eastAsia" w:cs="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723" w:type="dxa"/>
            <w:gridSpan w:val="3"/>
            <w:vAlign w:val="center"/>
          </w:tcPr>
          <w:p>
            <w:pPr>
              <w:autoSpaceDE w:val="0"/>
              <w:autoSpaceDN w:val="0"/>
              <w:adjustRightInd w:val="0"/>
              <w:snapToGrid w:val="0"/>
              <w:spacing w:line="460" w:lineRule="exact"/>
              <w:contextualSpacing/>
              <w:jc w:val="center"/>
              <w:rPr>
                <w:color w:val="000000"/>
                <w:kern w:val="0"/>
                <w:sz w:val="24"/>
              </w:rPr>
            </w:pPr>
            <w:r>
              <w:rPr>
                <w:bCs/>
                <w:color w:val="000000"/>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7723" w:type="dxa"/>
            <w:gridSpan w:val="3"/>
            <w:vAlign w:val="center"/>
          </w:tcPr>
          <w:p>
            <w:pPr>
              <w:adjustRightInd w:val="0"/>
              <w:snapToGrid w:val="0"/>
              <w:spacing w:line="460" w:lineRule="exact"/>
              <w:rPr>
                <w:sz w:val="24"/>
              </w:rPr>
            </w:pPr>
            <w:r>
              <w:rPr>
                <w:rFonts w:hint="eastAsia"/>
                <w:sz w:val="24"/>
              </w:rPr>
              <w:t>1、规划文件名称：</w:t>
            </w:r>
            <w:r>
              <w:rPr>
                <w:sz w:val="24"/>
              </w:rPr>
              <w:t>《</w:t>
            </w:r>
            <w:r>
              <w:rPr>
                <w:rFonts w:hint="eastAsia"/>
                <w:sz w:val="24"/>
              </w:rPr>
              <w:t>获嘉县产业集聚区总体发展规划（2016-2020</w:t>
            </w:r>
            <w:r>
              <w:rPr>
                <w:rFonts w:hint="eastAsia"/>
                <w:color w:val="000000"/>
                <w:sz w:val="24"/>
              </w:rPr>
              <w:t>）</w:t>
            </w:r>
            <w:r>
              <w:rPr>
                <w:sz w:val="24"/>
              </w:rPr>
              <w:t>》</w:t>
            </w:r>
          </w:p>
          <w:p>
            <w:pPr>
              <w:adjustRightInd w:val="0"/>
              <w:snapToGrid w:val="0"/>
              <w:spacing w:line="460" w:lineRule="exact"/>
              <w:rPr>
                <w:sz w:val="24"/>
              </w:rPr>
            </w:pPr>
            <w:r>
              <w:rPr>
                <w:rFonts w:hint="eastAsia"/>
                <w:sz w:val="24"/>
              </w:rPr>
              <w:t>2、审批机关：</w:t>
            </w:r>
            <w:r>
              <w:rPr>
                <w:rFonts w:hint="eastAsia"/>
                <w:color w:val="000000"/>
                <w:sz w:val="24"/>
              </w:rPr>
              <w:t>河南省发展和改革委员会</w:t>
            </w:r>
          </w:p>
          <w:p>
            <w:pPr>
              <w:autoSpaceDE w:val="0"/>
              <w:autoSpaceDN w:val="0"/>
              <w:adjustRightInd w:val="0"/>
              <w:snapToGrid w:val="0"/>
              <w:spacing w:line="460" w:lineRule="exact"/>
              <w:rPr>
                <w:color w:val="FF0000"/>
                <w:kern w:val="0"/>
                <w:sz w:val="24"/>
              </w:rPr>
            </w:pPr>
            <w:r>
              <w:rPr>
                <w:rFonts w:hint="eastAsia"/>
                <w:sz w:val="24"/>
              </w:rPr>
              <w:t>3、审批文件名称及文号：</w:t>
            </w:r>
            <w:r>
              <w:rPr>
                <w:rFonts w:hint="eastAsia"/>
                <w:color w:val="000000"/>
                <w:sz w:val="24"/>
              </w:rPr>
              <w:t>《</w:t>
            </w:r>
            <w:r>
              <w:rPr>
                <w:rFonts w:hint="eastAsia"/>
                <w:sz w:val="24"/>
              </w:rPr>
              <w:t>获嘉县产业集聚区总体发展规划（2016-2020</w:t>
            </w:r>
            <w:r>
              <w:rPr>
                <w:rFonts w:hint="eastAsia"/>
                <w:color w:val="000000"/>
                <w:sz w:val="24"/>
              </w:rPr>
              <w:t>）》豫发改工业[2016]594号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47" w:type="dxa"/>
            <w:tcMar>
              <w:left w:w="28" w:type="dxa"/>
              <w:right w:w="28" w:type="dxa"/>
            </w:tcMar>
            <w:vAlign w:val="center"/>
          </w:tcPr>
          <w:p>
            <w:pPr>
              <w:adjustRightInd w:val="0"/>
              <w:snapToGrid w:val="0"/>
              <w:jc w:val="center"/>
              <w:rPr>
                <w:rFonts w:ascii="宋体" w:hAnsi="宋体" w:cs="宋体"/>
                <w:szCs w:val="21"/>
              </w:rPr>
            </w:pPr>
            <w:r>
              <w:rPr>
                <w:rFonts w:hint="eastAsia" w:ascii="宋体" w:hAnsi="宋体" w:cs="宋体"/>
                <w:szCs w:val="21"/>
              </w:rPr>
              <w:t>规划环境影响评价情况</w:t>
            </w:r>
          </w:p>
        </w:tc>
        <w:tc>
          <w:tcPr>
            <w:tcW w:w="7723" w:type="dxa"/>
            <w:gridSpan w:val="3"/>
            <w:vAlign w:val="center"/>
          </w:tcPr>
          <w:p>
            <w:pPr>
              <w:adjustRightInd w:val="0"/>
              <w:snapToGrid w:val="0"/>
              <w:spacing w:line="460" w:lineRule="exact"/>
              <w:rPr>
                <w:sz w:val="24"/>
              </w:rPr>
            </w:pPr>
            <w:r>
              <w:rPr>
                <w:rFonts w:hint="eastAsia"/>
                <w:sz w:val="24"/>
              </w:rPr>
              <w:t>1、规划环境影响评价文件：</w:t>
            </w:r>
            <w:r>
              <w:rPr>
                <w:rFonts w:hint="eastAsia"/>
                <w:color w:val="000000"/>
                <w:sz w:val="24"/>
              </w:rPr>
              <w:t>《</w:t>
            </w:r>
            <w:r>
              <w:rPr>
                <w:rFonts w:hint="eastAsia"/>
                <w:sz w:val="24"/>
              </w:rPr>
              <w:t>获嘉县产业集聚区总体发展规划（2016-2020</w:t>
            </w:r>
            <w:r>
              <w:rPr>
                <w:rFonts w:hint="eastAsia"/>
                <w:color w:val="000000"/>
                <w:sz w:val="24"/>
              </w:rPr>
              <w:t>）环境影响报告书》</w:t>
            </w:r>
          </w:p>
          <w:p>
            <w:pPr>
              <w:adjustRightInd w:val="0"/>
              <w:snapToGrid w:val="0"/>
              <w:spacing w:line="460" w:lineRule="exact"/>
              <w:rPr>
                <w:color w:val="000000"/>
                <w:sz w:val="24"/>
              </w:rPr>
            </w:pPr>
            <w:r>
              <w:rPr>
                <w:rFonts w:hint="eastAsia"/>
                <w:sz w:val="24"/>
              </w:rPr>
              <w:t>2、召集审查机关：</w:t>
            </w:r>
            <w:r>
              <w:rPr>
                <w:rFonts w:hint="eastAsia"/>
                <w:color w:val="000000"/>
                <w:sz w:val="24"/>
              </w:rPr>
              <w:t>河南</w:t>
            </w:r>
            <w:r>
              <w:rPr>
                <w:color w:val="000000"/>
                <w:sz w:val="24"/>
              </w:rPr>
              <w:t>省</w:t>
            </w:r>
            <w:r>
              <w:rPr>
                <w:rFonts w:hint="eastAsia"/>
                <w:color w:val="000000"/>
                <w:sz w:val="24"/>
              </w:rPr>
              <w:t>环境保护厅</w:t>
            </w:r>
          </w:p>
          <w:p>
            <w:pPr>
              <w:autoSpaceDE w:val="0"/>
              <w:autoSpaceDN w:val="0"/>
              <w:adjustRightInd w:val="0"/>
              <w:snapToGrid w:val="0"/>
              <w:spacing w:line="460" w:lineRule="exact"/>
              <w:rPr>
                <w:color w:val="FF0000"/>
                <w:kern w:val="0"/>
                <w:sz w:val="24"/>
              </w:rPr>
            </w:pPr>
            <w:r>
              <w:rPr>
                <w:rFonts w:hint="eastAsia"/>
                <w:sz w:val="24"/>
              </w:rPr>
              <w:t>3、审批文件名称及文号：</w:t>
            </w:r>
            <w:r>
              <w:rPr>
                <w:rFonts w:hint="eastAsia"/>
                <w:color w:val="000000"/>
                <w:sz w:val="24"/>
              </w:rPr>
              <w:t>《</w:t>
            </w:r>
            <w:r>
              <w:rPr>
                <w:rFonts w:hint="eastAsia"/>
                <w:sz w:val="24"/>
              </w:rPr>
              <w:t>获嘉县产业集聚区总体发展规划（2016-2020</w:t>
            </w:r>
            <w:r>
              <w:rPr>
                <w:rFonts w:hint="eastAsia"/>
                <w:color w:val="000000"/>
                <w:sz w:val="24"/>
              </w:rPr>
              <w:t>）环境影响报告书</w:t>
            </w:r>
            <w:r>
              <w:rPr>
                <w:color w:val="000000"/>
                <w:sz w:val="24"/>
              </w:rPr>
              <w:t>的审查意见》</w:t>
            </w:r>
            <w:r>
              <w:rPr>
                <w:rFonts w:hint="eastAsia"/>
                <w:color w:val="000000"/>
                <w:sz w:val="24"/>
              </w:rPr>
              <w:t>，豫环函[2019]53号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4"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规划及规划环境影响评价符合性分析</w:t>
            </w:r>
          </w:p>
        </w:tc>
        <w:tc>
          <w:tcPr>
            <w:tcW w:w="7723" w:type="dxa"/>
            <w:gridSpan w:val="3"/>
            <w:vAlign w:val="center"/>
          </w:tcPr>
          <w:p>
            <w:pPr>
              <w:adjustRightInd w:val="0"/>
              <w:snapToGrid w:val="0"/>
              <w:spacing w:line="480" w:lineRule="exact"/>
              <w:ind w:firstLine="482" w:firstLineChars="200"/>
              <w:rPr>
                <w:b/>
                <w:bCs/>
                <w:color w:val="000000"/>
                <w:sz w:val="24"/>
              </w:rPr>
            </w:pPr>
            <w:r>
              <w:rPr>
                <w:rFonts w:hint="eastAsia"/>
                <w:b/>
                <w:bCs/>
                <w:color w:val="000000"/>
                <w:sz w:val="24"/>
              </w:rPr>
              <w:t>1、本项目与新乡市获嘉县产业集聚区准入条件和负面清单相符性分析</w:t>
            </w:r>
          </w:p>
          <w:p>
            <w:pPr>
              <w:adjustRightInd w:val="0"/>
              <w:snapToGrid w:val="0"/>
              <w:spacing w:line="480" w:lineRule="exact"/>
              <w:ind w:firstLine="480" w:firstLineChars="200"/>
              <w:rPr>
                <w:color w:val="000000"/>
                <w:sz w:val="24"/>
              </w:rPr>
            </w:pPr>
            <w:r>
              <w:rPr>
                <w:rFonts w:hint="eastAsia"/>
                <w:color w:val="000000"/>
                <w:sz w:val="24"/>
              </w:rPr>
              <w:t>（1）</w:t>
            </w:r>
            <w:r>
              <w:rPr>
                <w:color w:val="000000"/>
                <w:sz w:val="24"/>
              </w:rPr>
              <w:t>本项目位于</w:t>
            </w:r>
            <w:r>
              <w:rPr>
                <w:rFonts w:hint="eastAsia"/>
                <w:color w:val="000000"/>
                <w:sz w:val="24"/>
              </w:rPr>
              <w:t>新乡市获嘉县亢村镇产业新城纬八路2</w:t>
            </w:r>
            <w:r>
              <w:rPr>
                <w:color w:val="000000"/>
                <w:sz w:val="24"/>
              </w:rPr>
              <w:t>号</w:t>
            </w:r>
            <w:r>
              <w:rPr>
                <w:rFonts w:hint="eastAsia"/>
                <w:color w:val="000000"/>
                <w:sz w:val="24"/>
              </w:rPr>
              <w:t>，属于</w:t>
            </w:r>
            <w:r>
              <w:rPr>
                <w:color w:val="000000"/>
                <w:sz w:val="24"/>
              </w:rPr>
              <w:t>新乡市获嘉县产业集聚区南区</w:t>
            </w:r>
            <w:r>
              <w:rPr>
                <w:rFonts w:hint="eastAsia"/>
                <w:color w:val="000000"/>
                <w:sz w:val="24"/>
              </w:rPr>
              <w:t>，</w:t>
            </w:r>
            <w:r>
              <w:rPr>
                <w:color w:val="000000"/>
                <w:sz w:val="24"/>
              </w:rPr>
              <w:t>项目与获嘉县产业集聚区南区准入条件对照分析如下。</w:t>
            </w:r>
          </w:p>
          <w:p>
            <w:pPr>
              <w:adjustRightInd w:val="0"/>
              <w:snapToGrid w:val="0"/>
              <w:spacing w:line="480" w:lineRule="exact"/>
              <w:ind w:firstLine="480" w:firstLineChars="200"/>
              <w:rPr>
                <w:rFonts w:eastAsia="黑体"/>
              </w:rPr>
            </w:pPr>
            <w:r>
              <w:rPr>
                <w:rFonts w:eastAsia="黑体"/>
                <w:sz w:val="24"/>
              </w:rPr>
              <w:t>表1      与集聚区环境保护准入条件相符性分析一览表</w:t>
            </w:r>
          </w:p>
          <w:tbl>
            <w:tblPr>
              <w:tblStyle w:val="16"/>
              <w:tblpPr w:leftFromText="180" w:rightFromText="180" w:vertAnchor="text" w:tblpXSpec="center" w:tblpY="1"/>
              <w:tblOverlap w:val="never"/>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48"/>
              <w:gridCol w:w="2850"/>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准入条件</w:t>
                  </w:r>
                </w:p>
              </w:tc>
              <w:tc>
                <w:tcPr>
                  <w:tcW w:w="2835"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本项目情况</w:t>
                  </w:r>
                </w:p>
              </w:tc>
              <w:tc>
                <w:tcPr>
                  <w:tcW w:w="720" w:type="dxa"/>
                  <w:tcBorders>
                    <w:top w:val="single" w:color="auto" w:sz="8" w:space="0"/>
                    <w:left w:val="nil"/>
                    <w:bottom w:val="single" w:color="auto" w:sz="4" w:space="0"/>
                    <w:right w:val="nil"/>
                  </w:tcBorders>
                  <w:vAlign w:val="center"/>
                </w:tcPr>
                <w:p>
                  <w:pPr>
                    <w:jc w:val="center"/>
                    <w:rPr>
                      <w:b/>
                      <w:bCs/>
                      <w:szCs w:val="21"/>
                    </w:rPr>
                  </w:pPr>
                  <w:r>
                    <w:rPr>
                      <w:rFonts w:hint="eastAsia"/>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1）鼓励产业集聚区北区城南片区发展以新材料为主要发展方向的化工项目，在原化工产业的基础上，积极发展高分子粘合剂、涂料、环保基料，以及先进陶瓷材料。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1~2个）。南区以现代家居产业为主导，带动发展纺织服装产业。</w:t>
                  </w:r>
                </w:p>
              </w:tc>
              <w:tc>
                <w:tcPr>
                  <w:tcW w:w="2835" w:type="dxa"/>
                  <w:tcBorders>
                    <w:top w:val="single" w:color="auto" w:sz="4" w:space="0"/>
                    <w:left w:val="nil"/>
                    <w:bottom w:val="single" w:color="auto" w:sz="4" w:space="0"/>
                    <w:right w:val="single" w:color="auto" w:sz="4" w:space="0"/>
                  </w:tcBorders>
                  <w:vAlign w:val="center"/>
                </w:tcPr>
                <w:p>
                  <w:pPr>
                    <w:rPr>
                      <w:szCs w:val="21"/>
                    </w:rPr>
                  </w:pPr>
                  <w:r>
                    <w:rPr>
                      <w:szCs w:val="21"/>
                    </w:rPr>
                    <w:t>本项目位于</w:t>
                  </w:r>
                  <w:r>
                    <w:rPr>
                      <w:rFonts w:hint="eastAsia"/>
                      <w:szCs w:val="21"/>
                    </w:rPr>
                    <w:t>新乡市获嘉县亢村镇产业新城纬八路2</w:t>
                  </w:r>
                  <w:r>
                    <w:rPr>
                      <w:szCs w:val="21"/>
                    </w:rPr>
                    <w:t>号</w:t>
                  </w:r>
                  <w:r>
                    <w:rPr>
                      <w:rFonts w:hint="eastAsia"/>
                      <w:szCs w:val="21"/>
                    </w:rPr>
                    <w:t>，属于</w:t>
                  </w:r>
                  <w:r>
                    <w:rPr>
                      <w:szCs w:val="21"/>
                    </w:rPr>
                    <w:t>新乡市获嘉县产业集聚区南区，</w:t>
                  </w:r>
                  <w:r>
                    <w:rPr>
                      <w:rFonts w:hint="eastAsia"/>
                      <w:szCs w:val="21"/>
                    </w:rPr>
                    <w:t>属于</w:t>
                  </w:r>
                  <w:r>
                    <w:rPr>
                      <w:szCs w:val="21"/>
                    </w:rPr>
                    <w:t>卫生材料及医药用品制造</w:t>
                  </w:r>
                  <w:r>
                    <w:rPr>
                      <w:rFonts w:hint="eastAsia"/>
                      <w:szCs w:val="21"/>
                    </w:rPr>
                    <w:t>，</w:t>
                  </w:r>
                  <w:r>
                    <w:rPr>
                      <w:szCs w:val="21"/>
                    </w:rPr>
                    <w:t>产品为</w:t>
                  </w:r>
                  <w:r>
                    <w:rPr>
                      <w:rFonts w:hint="eastAsia"/>
                      <w:szCs w:val="21"/>
                    </w:rPr>
                    <w:t>口罩，与集聚区规划主导产业不冲突，允许入驻。</w:t>
                  </w:r>
                </w:p>
              </w:tc>
              <w:tc>
                <w:tcPr>
                  <w:tcW w:w="720"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sz w:val="21"/>
                      <w:szCs w:val="21"/>
                    </w:rPr>
                  </w:pPr>
                  <w:r>
                    <w:rPr>
                      <w:rFonts w:ascii="Times New Roman" w:hAnsi="Times New Roman" w:cs="Times New Roman"/>
                      <w:b w:val="0"/>
                      <w:bCs w:val="0"/>
                      <w:sz w:val="21"/>
                      <w:szCs w:val="21"/>
                    </w:rPr>
                    <w:t>（2）鼓励集聚区北区城南片区现有煤化工企业对现有项目实施提标改造、节能减排，提升改造应严格落实《河南省传统煤化工行业转型发展行动方案（2018-2020年）》（豫政办[2018]82号）要求；鼓励引进以集聚区北区城南片区现有煤化工产品为原料的具有高附加值、低环境污染的下游产品生产项目。</w:t>
                  </w:r>
                </w:p>
              </w:tc>
              <w:tc>
                <w:tcPr>
                  <w:tcW w:w="2835" w:type="dxa"/>
                  <w:tcBorders>
                    <w:top w:val="single" w:color="auto" w:sz="4" w:space="0"/>
                    <w:left w:val="nil"/>
                    <w:bottom w:val="single" w:color="auto" w:sz="4" w:space="0"/>
                    <w:right w:val="single" w:color="auto" w:sz="4" w:space="0"/>
                  </w:tcBorders>
                  <w:vAlign w:val="center"/>
                </w:tcPr>
                <w:p>
                  <w:pPr>
                    <w:rPr>
                      <w:szCs w:val="21"/>
                    </w:rPr>
                  </w:pPr>
                  <w:r>
                    <w:rPr>
                      <w:szCs w:val="21"/>
                    </w:rPr>
                    <w:t>本项目位于</w:t>
                  </w:r>
                  <w:r>
                    <w:rPr>
                      <w:rFonts w:hint="eastAsia"/>
                      <w:szCs w:val="21"/>
                    </w:rPr>
                    <w:t>新乡市获嘉县亢村镇产业新城纬八路2</w:t>
                  </w:r>
                  <w:r>
                    <w:rPr>
                      <w:szCs w:val="21"/>
                    </w:rPr>
                    <w:t>号</w:t>
                  </w:r>
                  <w:r>
                    <w:rPr>
                      <w:rFonts w:hint="eastAsia"/>
                      <w:szCs w:val="21"/>
                    </w:rPr>
                    <w:t>，属于</w:t>
                  </w:r>
                  <w:r>
                    <w:rPr>
                      <w:szCs w:val="21"/>
                    </w:rPr>
                    <w:t>新乡市获嘉县产业集聚区南区</w:t>
                  </w:r>
                  <w:r>
                    <w:rPr>
                      <w:rFonts w:hint="eastAsia"/>
                      <w:szCs w:val="21"/>
                    </w:rPr>
                    <w:t>范围</w:t>
                  </w:r>
                  <w:r>
                    <w:rPr>
                      <w:szCs w:val="21"/>
                    </w:rPr>
                    <w:t>，</w:t>
                  </w:r>
                  <w:r>
                    <w:rPr>
                      <w:rFonts w:hint="eastAsia"/>
                      <w:szCs w:val="21"/>
                    </w:rPr>
                    <w:t>不属于北区</w:t>
                  </w:r>
                  <w:r>
                    <w:rPr>
                      <w:szCs w:val="21"/>
                    </w:rPr>
                    <w:t>。</w:t>
                  </w:r>
                </w:p>
              </w:tc>
              <w:tc>
                <w:tcPr>
                  <w:tcW w:w="720" w:type="dxa"/>
                  <w:tcBorders>
                    <w:top w:val="single" w:color="auto" w:sz="4" w:space="0"/>
                    <w:left w:val="nil"/>
                    <w:bottom w:val="single" w:color="auto" w:sz="4" w:space="0"/>
                    <w:right w:val="nil"/>
                  </w:tcBorders>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4" w:space="0"/>
                    <w:right w:val="single" w:color="auto" w:sz="4" w:space="0"/>
                  </w:tcBorders>
                  <w:vAlign w:val="center"/>
                </w:tcPr>
                <w:p>
                  <w:pPr>
                    <w:pStyle w:val="54"/>
                    <w:ind w:left="0"/>
                    <w:rPr>
                      <w:rFonts w:ascii="Times New Roman" w:hAnsi="Times New Roman" w:cs="Times New Roman"/>
                      <w:b w:val="0"/>
                      <w:bCs w:val="0"/>
                      <w:sz w:val="21"/>
                      <w:szCs w:val="21"/>
                    </w:rPr>
                  </w:pPr>
                  <w:r>
                    <w:rPr>
                      <w:rFonts w:ascii="Times New Roman" w:hAnsi="Times New Roman" w:cs="Times New Roman"/>
                      <w:b w:val="0"/>
                      <w:bCs w:val="0"/>
                      <w:sz w:val="21"/>
                      <w:szCs w:val="21"/>
                    </w:rPr>
                    <w:t>（3）新、改扩建项目必须符合国家、省市产业政策及相关行业准入要求，清洁生产水平达到国内先进水平。</w:t>
                  </w:r>
                </w:p>
              </w:tc>
              <w:tc>
                <w:tcPr>
                  <w:tcW w:w="2835" w:type="dxa"/>
                  <w:tcBorders>
                    <w:top w:val="single" w:color="auto" w:sz="4" w:space="0"/>
                    <w:left w:val="nil"/>
                    <w:bottom w:val="single" w:color="auto" w:sz="4" w:space="0"/>
                    <w:right w:val="single" w:color="auto" w:sz="4" w:space="0"/>
                  </w:tcBorders>
                  <w:shd w:val="clear" w:color="auto" w:fill="auto"/>
                  <w:vAlign w:val="center"/>
                </w:tcPr>
                <w:p>
                  <w:pPr>
                    <w:rPr>
                      <w:szCs w:val="21"/>
                    </w:rPr>
                  </w:pPr>
                  <w:r>
                    <w:rPr>
                      <w:rFonts w:hint="eastAsia"/>
                      <w:szCs w:val="21"/>
                    </w:rPr>
                    <w:t>本项目属为扩建项目，属于允许类，符合</w:t>
                  </w:r>
                  <w:r>
                    <w:rPr>
                      <w:szCs w:val="21"/>
                    </w:rPr>
                    <w:t>国家、省市产业政策及相关行业准入要求，清洁生产水平达到国内先进水平。</w:t>
                  </w:r>
                </w:p>
              </w:tc>
              <w:tc>
                <w:tcPr>
                  <w:tcW w:w="720" w:type="dxa"/>
                  <w:tcBorders>
                    <w:top w:val="single" w:color="auto" w:sz="4" w:space="0"/>
                    <w:left w:val="nil"/>
                    <w:bottom w:val="single" w:color="auto" w:sz="4" w:space="0"/>
                    <w:right w:val="nil"/>
                  </w:tcBorders>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（4）鼓励发展符合集聚区功能布局和产业规划，采用先进生产工艺和设备、自动化程度高，具有可靠的污染治理技术或轻污染项目。</w:t>
                  </w:r>
                </w:p>
              </w:tc>
              <w:tc>
                <w:tcPr>
                  <w:tcW w:w="2835" w:type="dxa"/>
                  <w:tcBorders>
                    <w:top w:val="single" w:color="auto" w:sz="4" w:space="0"/>
                    <w:left w:val="nil"/>
                    <w:bottom w:val="single" w:color="auto" w:sz="4" w:space="0"/>
                    <w:right w:val="single" w:color="auto" w:sz="4" w:space="0"/>
                  </w:tcBorders>
                  <w:vAlign w:val="center"/>
                </w:tcPr>
                <w:p>
                  <w:pPr>
                    <w:rPr>
                      <w:szCs w:val="21"/>
                    </w:rPr>
                  </w:pPr>
                  <w:r>
                    <w:rPr>
                      <w:szCs w:val="21"/>
                    </w:rPr>
                    <w:t>本项目位于</w:t>
                  </w:r>
                  <w:r>
                    <w:rPr>
                      <w:rFonts w:hint="eastAsia"/>
                      <w:szCs w:val="21"/>
                    </w:rPr>
                    <w:t>新乡市获嘉县亢村镇产业新城纬八路2</w:t>
                  </w:r>
                  <w:r>
                    <w:rPr>
                      <w:szCs w:val="21"/>
                    </w:rPr>
                    <w:t>号</w:t>
                  </w:r>
                  <w:r>
                    <w:rPr>
                      <w:rFonts w:hint="eastAsia"/>
                      <w:szCs w:val="21"/>
                    </w:rPr>
                    <w:t>，属于</w:t>
                  </w:r>
                  <w:r>
                    <w:rPr>
                      <w:szCs w:val="21"/>
                    </w:rPr>
                    <w:t>新乡市获嘉县产业集聚区南区，</w:t>
                  </w:r>
                  <w:r>
                    <w:t>占地属于规划的二类用地。项目废气</w:t>
                  </w:r>
                  <w:r>
                    <w:rPr>
                      <w:rFonts w:hint="eastAsia"/>
                    </w:rPr>
                    <w:t>、</w:t>
                  </w:r>
                  <w:r>
                    <w:t>废水、噪声经过治理后均可达标排放，固废处置措施可行，不属于重污染项目。</w:t>
                  </w:r>
                </w:p>
              </w:tc>
              <w:tc>
                <w:tcPr>
                  <w:tcW w:w="720" w:type="dxa"/>
                  <w:tcBorders>
                    <w:top w:val="single" w:color="auto" w:sz="4" w:space="0"/>
                    <w:left w:val="nil"/>
                    <w:bottom w:val="single" w:color="auto" w:sz="4" w:space="0"/>
                    <w:right w:val="nil"/>
                  </w:tcBorders>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（5）鼓励污水深度治理、中水回用项目、资源综合利用项目入驻。</w:t>
                  </w:r>
                </w:p>
              </w:tc>
              <w:tc>
                <w:tcPr>
                  <w:tcW w:w="2835" w:type="dxa"/>
                  <w:tcBorders>
                    <w:top w:val="single" w:color="auto" w:sz="4" w:space="0"/>
                    <w:left w:val="nil"/>
                    <w:bottom w:val="single" w:color="auto" w:sz="4" w:space="0"/>
                    <w:right w:val="single" w:color="auto" w:sz="4" w:space="0"/>
                  </w:tcBorders>
                  <w:shd w:val="clear" w:color="auto" w:fill="auto"/>
                  <w:vAlign w:val="center"/>
                </w:tcPr>
                <w:p>
                  <w:pPr>
                    <w:rPr>
                      <w:szCs w:val="21"/>
                    </w:rPr>
                  </w:pPr>
                  <w:r>
                    <w:rPr>
                      <w:szCs w:val="21"/>
                    </w:rPr>
                    <w:t>本项目</w:t>
                  </w:r>
                  <w:r>
                    <w:rPr>
                      <w:rFonts w:hint="eastAsia"/>
                      <w:szCs w:val="21"/>
                    </w:rPr>
                    <w:t>水喷淋废水于危废暂存间暂存后委托有相应危废处理资质单位安全处置</w:t>
                  </w:r>
                  <w:r>
                    <w:rPr>
                      <w:szCs w:val="21"/>
                    </w:rPr>
                    <w:t>，生活污水经化粪池处理后排入亢村污水处理厂处理。</w:t>
                  </w:r>
                </w:p>
              </w:tc>
              <w:tc>
                <w:tcPr>
                  <w:tcW w:w="720" w:type="dxa"/>
                  <w:tcBorders>
                    <w:top w:val="single" w:color="auto" w:sz="4" w:space="0"/>
                    <w:left w:val="nil"/>
                    <w:bottom w:val="single" w:color="auto" w:sz="4" w:space="0"/>
                    <w:right w:val="nil"/>
                  </w:tcBorders>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28" w:type="dxa"/>
                  <w:tcBorders>
                    <w:top w:val="single" w:color="auto" w:sz="4" w:space="0"/>
                    <w:left w:val="nil"/>
                    <w:bottom w:val="single" w:color="auto" w:sz="8"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（6）建设项目用地应满足集聚区土地利用规划要求，投资强度满足《河南省工业项目建设用地控制指标》的要求。</w:t>
                  </w:r>
                </w:p>
              </w:tc>
              <w:tc>
                <w:tcPr>
                  <w:tcW w:w="2835" w:type="dxa"/>
                  <w:tcBorders>
                    <w:top w:val="single" w:color="auto" w:sz="4" w:space="0"/>
                    <w:left w:val="nil"/>
                    <w:bottom w:val="single" w:color="auto" w:sz="8" w:space="0"/>
                    <w:right w:val="single" w:color="auto" w:sz="4" w:space="0"/>
                  </w:tcBorders>
                  <w:vAlign w:val="center"/>
                </w:tcPr>
                <w:p>
                  <w:pPr>
                    <w:rPr>
                      <w:szCs w:val="21"/>
                    </w:rPr>
                  </w:pPr>
                  <w:r>
                    <w:rPr>
                      <w:szCs w:val="21"/>
                    </w:rPr>
                    <w:t>本项目所占用地属于二类工业用地</w:t>
                  </w:r>
                  <w:r>
                    <w:rPr>
                      <w:rFonts w:hint="eastAsia"/>
                      <w:szCs w:val="21"/>
                    </w:rPr>
                    <w:t>，</w:t>
                  </w:r>
                  <w:r>
                    <w:rPr>
                      <w:szCs w:val="21"/>
                    </w:rPr>
                    <w:t>符合集聚区土地利用规划，投资强度满足《河南省工业项目建设用地控制指标》的要求。</w:t>
                  </w:r>
                </w:p>
              </w:tc>
              <w:tc>
                <w:tcPr>
                  <w:tcW w:w="720" w:type="dxa"/>
                  <w:tcBorders>
                    <w:top w:val="single" w:color="auto" w:sz="4" w:space="0"/>
                    <w:left w:val="nil"/>
                    <w:bottom w:val="single" w:color="auto" w:sz="8" w:space="0"/>
                    <w:right w:val="nil"/>
                  </w:tcBorders>
                  <w:vAlign w:val="center"/>
                </w:tcPr>
                <w:p>
                  <w:pPr>
                    <w:jc w:val="center"/>
                    <w:rPr>
                      <w:szCs w:val="21"/>
                    </w:rPr>
                  </w:pPr>
                  <w:r>
                    <w:rPr>
                      <w:szCs w:val="21"/>
                    </w:rPr>
                    <w:t>符合</w:t>
                  </w:r>
                </w:p>
              </w:tc>
            </w:tr>
          </w:tbl>
          <w:p>
            <w:pPr>
              <w:adjustRightInd w:val="0"/>
              <w:snapToGrid w:val="0"/>
              <w:spacing w:line="480" w:lineRule="exact"/>
              <w:ind w:firstLine="480" w:firstLineChars="200"/>
              <w:rPr>
                <w:sz w:val="24"/>
              </w:rPr>
            </w:pPr>
            <w:r>
              <w:rPr>
                <w:rFonts w:hint="eastAsia"/>
                <w:sz w:val="24"/>
              </w:rPr>
              <w:t>（2）</w:t>
            </w:r>
            <w:r>
              <w:rPr>
                <w:sz w:val="24"/>
              </w:rPr>
              <w:t>本项目厂址位于</w:t>
            </w:r>
            <w:r>
              <w:rPr>
                <w:rFonts w:hint="eastAsia"/>
                <w:sz w:val="24"/>
              </w:rPr>
              <w:t>新乡市获嘉县亢村镇产业新城纬八路2</w:t>
            </w:r>
            <w:r>
              <w:rPr>
                <w:sz w:val="24"/>
              </w:rPr>
              <w:t>号，属于新乡市获嘉县产业集聚区南区</w:t>
            </w:r>
            <w:r>
              <w:rPr>
                <w:rFonts w:hint="eastAsia"/>
                <w:sz w:val="24"/>
              </w:rPr>
              <w:t>，</w:t>
            </w:r>
            <w:r>
              <w:rPr>
                <w:sz w:val="24"/>
              </w:rPr>
              <w:t>本项目与获嘉县产业集聚区南区负面清单对比分析如下：</w:t>
            </w:r>
          </w:p>
          <w:p>
            <w:pPr>
              <w:adjustRightInd w:val="0"/>
              <w:snapToGrid w:val="0"/>
              <w:spacing w:line="480" w:lineRule="exact"/>
              <w:ind w:firstLine="480" w:firstLineChars="200"/>
              <w:rPr>
                <w:rFonts w:eastAsia="黑体"/>
                <w:sz w:val="24"/>
              </w:rPr>
            </w:pPr>
            <w:r>
              <w:rPr>
                <w:rFonts w:eastAsia="黑体"/>
                <w:sz w:val="24"/>
              </w:rPr>
              <w:t>表</w:t>
            </w:r>
            <w:r>
              <w:rPr>
                <w:rFonts w:hint="eastAsia" w:eastAsia="黑体"/>
                <w:sz w:val="24"/>
              </w:rPr>
              <w:t>2</w:t>
            </w:r>
            <w:r>
              <w:rPr>
                <w:rFonts w:eastAsia="黑体"/>
                <w:sz w:val="24"/>
              </w:rPr>
              <w:t xml:space="preserve">         与集聚区负面清单相符性分析一览表</w:t>
            </w:r>
          </w:p>
          <w:tbl>
            <w:tblPr>
              <w:tblStyle w:val="16"/>
              <w:tblpPr w:leftFromText="180" w:rightFromText="180" w:vertAnchor="text" w:tblpXSpec="center" w:tblpY="1"/>
              <w:tblOverlap w:val="never"/>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31"/>
              <w:gridCol w:w="3575"/>
              <w:gridCol w:w="2903"/>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4"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类型</w:t>
                  </w:r>
                </w:p>
              </w:tc>
              <w:tc>
                <w:tcPr>
                  <w:tcW w:w="3521"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负面清单</w:t>
                  </w:r>
                </w:p>
              </w:tc>
              <w:tc>
                <w:tcPr>
                  <w:tcW w:w="2859"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本项目情况</w:t>
                  </w:r>
                </w:p>
              </w:tc>
              <w:tc>
                <w:tcPr>
                  <w:tcW w:w="505" w:type="dxa"/>
                  <w:tcBorders>
                    <w:top w:val="single" w:color="auto" w:sz="8" w:space="0"/>
                    <w:left w:val="nil"/>
                    <w:bottom w:val="single" w:color="auto" w:sz="4" w:space="0"/>
                    <w:right w:val="nil"/>
                  </w:tcBorders>
                  <w:vAlign w:val="center"/>
                </w:tcPr>
                <w:p>
                  <w:pPr>
                    <w:jc w:val="center"/>
                    <w:rPr>
                      <w:b/>
                      <w:bCs/>
                      <w:szCs w:val="21"/>
                    </w:rPr>
                  </w:pPr>
                  <w:r>
                    <w:rPr>
                      <w:b/>
                      <w:bCs/>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4" w:type="dxa"/>
                  <w:tcBorders>
                    <w:top w:val="single" w:color="auto" w:sz="4" w:space="0"/>
                    <w:left w:val="nil"/>
                    <w:bottom w:val="single" w:color="auto" w:sz="4" w:space="0"/>
                    <w:right w:val="single" w:color="auto" w:sz="4" w:space="0"/>
                  </w:tcBorders>
                  <w:vAlign w:val="center"/>
                </w:tcPr>
                <w:p>
                  <w:pPr>
                    <w:pStyle w:val="5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限制类</w:t>
                  </w:r>
                </w:p>
              </w:tc>
              <w:tc>
                <w:tcPr>
                  <w:tcW w:w="3521" w:type="dxa"/>
                  <w:tcBorders>
                    <w:top w:val="single" w:color="auto" w:sz="4" w:space="0"/>
                    <w:left w:val="nil"/>
                    <w:bottom w:val="single" w:color="auto" w:sz="4" w:space="0"/>
                    <w:right w:val="single" w:color="auto" w:sz="4" w:space="0"/>
                  </w:tcBorders>
                  <w:vAlign w:val="center"/>
                </w:tcPr>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1、空间布局及土地规划：限制与集聚区土地利用规划不相符的现有企业进行扩建</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2、产业政策及行业准入：限制发展原料和产品为非环境友好型的项目</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3、污染物排放及资源利用：限值污染物防治和资源利用技术不成熟、污染物不能达标排放的项目</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4、环境风险：限值新建无可靠风险防范措施且存在重大危险源项目</w:t>
                  </w:r>
                  <w:r>
                    <w:rPr>
                      <w:rFonts w:hint="eastAsia" w:ascii="Times New Roman" w:hAnsi="Times New Roman" w:cs="Times New Roman"/>
                      <w:b w:val="0"/>
                      <w:bCs w:val="0"/>
                      <w:sz w:val="21"/>
                      <w:szCs w:val="21"/>
                    </w:rPr>
                    <w:t>。</w:t>
                  </w:r>
                </w:p>
              </w:tc>
              <w:tc>
                <w:tcPr>
                  <w:tcW w:w="2859" w:type="dxa"/>
                  <w:tcBorders>
                    <w:top w:val="single" w:color="auto" w:sz="4" w:space="0"/>
                    <w:left w:val="nil"/>
                    <w:bottom w:val="single" w:color="auto" w:sz="4" w:space="0"/>
                    <w:right w:val="single" w:color="auto" w:sz="4" w:space="0"/>
                  </w:tcBorders>
                  <w:vAlign w:val="center"/>
                </w:tcPr>
                <w:p>
                  <w:pPr>
                    <w:pStyle w:val="54"/>
                    <w:spacing w:before="0" w:beforeAutospacing="0" w:after="0" w:afterAutospacing="0"/>
                    <w:ind w:left="0"/>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1、</w:t>
                  </w:r>
                  <w:r>
                    <w:rPr>
                      <w:rFonts w:ascii="Times New Roman" w:hAnsi="Times New Roman" w:cs="Times New Roman"/>
                      <w:b w:val="0"/>
                      <w:bCs w:val="0"/>
                      <w:sz w:val="21"/>
                      <w:szCs w:val="21"/>
                    </w:rPr>
                    <w:t>本项目所占用地符合</w:t>
                  </w:r>
                  <w:r>
                    <w:rPr>
                      <w:rFonts w:hint="eastAsia" w:ascii="Times New Roman" w:hAnsi="Times New Roman" w:cs="Times New Roman"/>
                      <w:b w:val="0"/>
                      <w:bCs w:val="0"/>
                      <w:sz w:val="21"/>
                      <w:szCs w:val="21"/>
                    </w:rPr>
                    <w:t>获嘉县产业</w:t>
                  </w:r>
                  <w:r>
                    <w:rPr>
                      <w:rFonts w:ascii="Times New Roman" w:hAnsi="Times New Roman" w:cs="Times New Roman"/>
                      <w:b w:val="0"/>
                      <w:bCs w:val="0"/>
                      <w:sz w:val="21"/>
                      <w:szCs w:val="21"/>
                    </w:rPr>
                    <w:t>集聚区</w:t>
                  </w:r>
                  <w:r>
                    <w:rPr>
                      <w:rFonts w:hint="eastAsia" w:ascii="Times New Roman" w:hAnsi="Times New Roman" w:cs="Times New Roman"/>
                      <w:b w:val="0"/>
                      <w:bCs w:val="0"/>
                      <w:sz w:val="21"/>
                      <w:szCs w:val="21"/>
                    </w:rPr>
                    <w:t>土地利用</w:t>
                  </w:r>
                  <w:r>
                    <w:rPr>
                      <w:rFonts w:ascii="Times New Roman" w:hAnsi="Times New Roman" w:cs="Times New Roman"/>
                      <w:b w:val="0"/>
                      <w:bCs w:val="0"/>
                      <w:sz w:val="21"/>
                      <w:szCs w:val="21"/>
                    </w:rPr>
                    <w:t>规划</w:t>
                  </w:r>
                  <w:r>
                    <w:rPr>
                      <w:rFonts w:hint="eastAsia" w:ascii="Times New Roman" w:hAnsi="Times New Roman" w:cs="Times New Roman"/>
                      <w:b w:val="0"/>
                      <w:bCs w:val="0"/>
                      <w:sz w:val="21"/>
                      <w:szCs w:val="21"/>
                    </w:rPr>
                    <w:t>；</w:t>
                  </w:r>
                </w:p>
                <w:p>
                  <w:pPr>
                    <w:pStyle w:val="54"/>
                    <w:spacing w:before="0" w:beforeAutospacing="0" w:after="0" w:afterAutospacing="0"/>
                    <w:ind w:left="0"/>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2、本项目</w:t>
                  </w:r>
                  <w:r>
                    <w:rPr>
                      <w:rFonts w:ascii="Times New Roman" w:hAnsi="Times New Roman" w:cs="Times New Roman"/>
                      <w:b w:val="0"/>
                      <w:bCs w:val="0"/>
                      <w:sz w:val="21"/>
                      <w:szCs w:val="21"/>
                    </w:rPr>
                    <w:t>所用原料和产品均为环境友好型</w:t>
                  </w:r>
                  <w:r>
                    <w:rPr>
                      <w:rFonts w:hint="eastAsia" w:ascii="Times New Roman" w:hAnsi="Times New Roman" w:cs="Times New Roman"/>
                      <w:b w:val="0"/>
                      <w:bCs w:val="0"/>
                      <w:sz w:val="21"/>
                      <w:szCs w:val="21"/>
                    </w:rPr>
                    <w:t>；</w:t>
                  </w:r>
                </w:p>
                <w:p>
                  <w:pPr>
                    <w:pStyle w:val="54"/>
                    <w:spacing w:before="0" w:beforeAutospacing="0" w:after="0" w:afterAutospacing="0"/>
                    <w:ind w:left="0"/>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3、本项目</w:t>
                  </w:r>
                  <w:r>
                    <w:rPr>
                      <w:rFonts w:ascii="Times New Roman" w:hAnsi="Times New Roman" w:cs="Times New Roman"/>
                      <w:b w:val="0"/>
                      <w:bCs w:val="0"/>
                      <w:sz w:val="21"/>
                      <w:szCs w:val="21"/>
                    </w:rPr>
                    <w:t>污染物防治和资源利用技术成熟、污染物能达标排放</w:t>
                  </w:r>
                  <w:r>
                    <w:rPr>
                      <w:rFonts w:hint="eastAsia" w:ascii="Times New Roman" w:hAnsi="Times New Roman" w:cs="Times New Roman"/>
                      <w:b w:val="0"/>
                      <w:bCs w:val="0"/>
                      <w:sz w:val="21"/>
                      <w:szCs w:val="21"/>
                    </w:rPr>
                    <w:t>；</w:t>
                  </w:r>
                </w:p>
                <w:p>
                  <w:pPr>
                    <w:pStyle w:val="54"/>
                    <w:spacing w:before="0" w:beforeAutospacing="0" w:after="0" w:afterAutospacing="0"/>
                    <w:ind w:left="0"/>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4、</w:t>
                  </w:r>
                  <w:r>
                    <w:rPr>
                      <w:rFonts w:ascii="Times New Roman" w:hAnsi="Times New Roman" w:cs="Times New Roman"/>
                      <w:b w:val="0"/>
                      <w:bCs w:val="0"/>
                      <w:sz w:val="21"/>
                      <w:szCs w:val="21"/>
                    </w:rPr>
                    <w:t>项目不存在重大风险源</w:t>
                  </w:r>
                  <w:r>
                    <w:rPr>
                      <w:rFonts w:hint="eastAsia" w:ascii="Times New Roman" w:hAnsi="Times New Roman" w:cs="Times New Roman"/>
                      <w:b w:val="0"/>
                      <w:bCs w:val="0"/>
                      <w:sz w:val="21"/>
                      <w:szCs w:val="21"/>
                    </w:rPr>
                    <w:t>。</w:t>
                  </w:r>
                </w:p>
              </w:tc>
              <w:tc>
                <w:tcPr>
                  <w:tcW w:w="505" w:type="dxa"/>
                  <w:tcBorders>
                    <w:top w:val="single" w:color="auto" w:sz="4" w:space="0"/>
                    <w:left w:val="nil"/>
                    <w:bottom w:val="single" w:color="auto" w:sz="4" w:space="0"/>
                    <w:right w:val="nil"/>
                  </w:tcBorders>
                  <w:vAlign w:val="center"/>
                </w:tcPr>
                <w:p>
                  <w:pPr>
                    <w:jc w:val="center"/>
                    <w:rPr>
                      <w:szCs w:val="21"/>
                    </w:rPr>
                  </w:pPr>
                  <w:r>
                    <w:rPr>
                      <w:szCs w:val="21"/>
                    </w:rPr>
                    <w:t>不属于限制类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4" w:type="dxa"/>
                  <w:tcBorders>
                    <w:top w:val="single" w:color="auto" w:sz="4" w:space="0"/>
                    <w:left w:val="nil"/>
                    <w:bottom w:val="single" w:color="auto" w:sz="8" w:space="0"/>
                    <w:right w:val="single" w:color="auto" w:sz="4" w:space="0"/>
                  </w:tcBorders>
                  <w:vAlign w:val="center"/>
                </w:tcPr>
                <w:p>
                  <w:pPr>
                    <w:pStyle w:val="5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禁止类</w:t>
                  </w:r>
                </w:p>
              </w:tc>
              <w:tc>
                <w:tcPr>
                  <w:tcW w:w="3521" w:type="dxa"/>
                  <w:tcBorders>
                    <w:top w:val="single" w:color="auto" w:sz="4" w:space="0"/>
                    <w:left w:val="nil"/>
                    <w:bottom w:val="single" w:color="auto" w:sz="8" w:space="0"/>
                    <w:right w:val="single" w:color="auto" w:sz="4" w:space="0"/>
                  </w:tcBorders>
                  <w:vAlign w:val="center"/>
                </w:tcPr>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1、空间布局及土地规划：禁止入驻不符合土地利用规划的项目</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2、产业政策及行业准入：禁止新建国家《产业结构指导目录（2011年本）》（2013年修正）中限制类和淘汰类的建设项目。禁止建设使用高VOCs含量的溶剂型涂料，油墨和黏胶剂等项目</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3、污染物排放及资源利用：禁止新建燃煤锅炉项目</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4、环境风险：禁止新建与环境敏感目标间距不能满足建设项目环评文件或者行业规定的防护距离要求的项目</w:t>
                  </w:r>
                  <w:r>
                    <w:rPr>
                      <w:rFonts w:hint="eastAsia" w:ascii="Times New Roman" w:hAnsi="Times New Roman" w:cs="Times New Roman"/>
                      <w:b w:val="0"/>
                      <w:bCs w:val="0"/>
                      <w:sz w:val="21"/>
                      <w:szCs w:val="21"/>
                    </w:rPr>
                    <w:t>。</w:t>
                  </w:r>
                </w:p>
              </w:tc>
              <w:tc>
                <w:tcPr>
                  <w:tcW w:w="2859" w:type="dxa"/>
                  <w:tcBorders>
                    <w:top w:val="single" w:color="auto" w:sz="4" w:space="0"/>
                    <w:left w:val="nil"/>
                    <w:bottom w:val="single" w:color="auto" w:sz="8" w:space="0"/>
                    <w:right w:val="single" w:color="auto" w:sz="4" w:space="0"/>
                  </w:tcBorders>
                  <w:vAlign w:val="center"/>
                </w:tcPr>
                <w:p>
                  <w:pPr>
                    <w:pStyle w:val="54"/>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1、</w:t>
                  </w:r>
                  <w:r>
                    <w:rPr>
                      <w:rFonts w:ascii="Times New Roman" w:hAnsi="Times New Roman" w:cs="Times New Roman"/>
                      <w:b w:val="0"/>
                      <w:bCs w:val="0"/>
                      <w:sz w:val="21"/>
                      <w:szCs w:val="21"/>
                    </w:rPr>
                    <w:t>本项目所占用地符合集聚区土地利用规划</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2、本</w:t>
                  </w:r>
                  <w:r>
                    <w:rPr>
                      <w:rFonts w:ascii="Times New Roman" w:hAnsi="Times New Roman" w:cs="Times New Roman"/>
                      <w:b w:val="0"/>
                      <w:bCs w:val="0"/>
                      <w:sz w:val="21"/>
                      <w:szCs w:val="21"/>
                    </w:rPr>
                    <w:t>项目不属于《产业结构指导目录（2019年本）》中限制类和淘汰类的建设项目。</w:t>
                  </w:r>
                  <w:r>
                    <w:rPr>
                      <w:rFonts w:hint="eastAsia" w:ascii="Times New Roman" w:hAnsi="Times New Roman" w:cs="Times New Roman"/>
                      <w:b w:val="0"/>
                      <w:bCs w:val="0"/>
                      <w:sz w:val="21"/>
                      <w:szCs w:val="21"/>
                    </w:rPr>
                    <w:t>本项目不涉及</w:t>
                  </w:r>
                  <w:r>
                    <w:rPr>
                      <w:rFonts w:ascii="Times New Roman" w:hAnsi="Times New Roman" w:cs="Times New Roman"/>
                      <w:b w:val="0"/>
                      <w:bCs w:val="0"/>
                      <w:sz w:val="21"/>
                      <w:szCs w:val="21"/>
                    </w:rPr>
                    <w:t>涂料</w:t>
                  </w:r>
                  <w:r>
                    <w:rPr>
                      <w:rFonts w:hint="eastAsia" w:ascii="Times New Roman" w:hAnsi="Times New Roman" w:cs="Times New Roman"/>
                      <w:b w:val="0"/>
                      <w:bCs w:val="0"/>
                      <w:sz w:val="21"/>
                      <w:szCs w:val="21"/>
                    </w:rPr>
                    <w:t>、油墨和黏胶剂；</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3、</w:t>
                  </w:r>
                  <w:r>
                    <w:rPr>
                      <w:rFonts w:ascii="Times New Roman" w:hAnsi="Times New Roman" w:cs="Times New Roman"/>
                      <w:b w:val="0"/>
                      <w:bCs w:val="0"/>
                      <w:sz w:val="21"/>
                      <w:szCs w:val="21"/>
                    </w:rPr>
                    <w:t>本项目不涉及燃煤锅炉</w:t>
                  </w:r>
                  <w:r>
                    <w:rPr>
                      <w:rFonts w:hint="eastAsia" w:ascii="Times New Roman" w:hAnsi="Times New Roman" w:cs="Times New Roman"/>
                      <w:b w:val="0"/>
                      <w:bCs w:val="0"/>
                      <w:sz w:val="21"/>
                      <w:szCs w:val="21"/>
                    </w:rPr>
                    <w:t>；</w:t>
                  </w:r>
                </w:p>
                <w:p>
                  <w:pPr>
                    <w:pStyle w:val="54"/>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4、</w:t>
                  </w:r>
                  <w:r>
                    <w:rPr>
                      <w:rFonts w:ascii="Times New Roman" w:hAnsi="Times New Roman" w:cs="Times New Roman"/>
                      <w:b w:val="0"/>
                      <w:bCs w:val="0"/>
                      <w:sz w:val="21"/>
                      <w:szCs w:val="21"/>
                    </w:rPr>
                    <w:t>项目与环境敏感目标间距能满足建设项目环评文件和行业规定的防护距离要求</w:t>
                  </w:r>
                  <w:r>
                    <w:rPr>
                      <w:rFonts w:hint="eastAsia" w:ascii="Times New Roman" w:hAnsi="Times New Roman" w:cs="Times New Roman"/>
                      <w:b w:val="0"/>
                      <w:bCs w:val="0"/>
                      <w:sz w:val="21"/>
                      <w:szCs w:val="21"/>
                    </w:rPr>
                    <w:t>。</w:t>
                  </w:r>
                </w:p>
              </w:tc>
              <w:tc>
                <w:tcPr>
                  <w:tcW w:w="505" w:type="dxa"/>
                  <w:tcBorders>
                    <w:top w:val="single" w:color="auto" w:sz="4" w:space="0"/>
                    <w:left w:val="nil"/>
                    <w:bottom w:val="single" w:color="auto" w:sz="8" w:space="0"/>
                    <w:right w:val="nil"/>
                  </w:tcBorders>
                  <w:vAlign w:val="center"/>
                </w:tcPr>
                <w:p>
                  <w:pPr>
                    <w:jc w:val="center"/>
                    <w:rPr>
                      <w:szCs w:val="21"/>
                    </w:rPr>
                  </w:pPr>
                  <w:r>
                    <w:rPr>
                      <w:szCs w:val="21"/>
                    </w:rPr>
                    <w:t>不属于禁止类</w:t>
                  </w:r>
                </w:p>
              </w:tc>
            </w:tr>
          </w:tbl>
          <w:p>
            <w:pPr>
              <w:adjustRightInd w:val="0"/>
              <w:snapToGrid w:val="0"/>
              <w:spacing w:line="480" w:lineRule="exact"/>
              <w:ind w:firstLine="480" w:firstLineChars="200"/>
              <w:rPr>
                <w:sz w:val="24"/>
              </w:rPr>
            </w:pPr>
            <w:r>
              <w:rPr>
                <w:sz w:val="24"/>
              </w:rPr>
              <w:t>根据</w:t>
            </w:r>
            <w:r>
              <w:rPr>
                <w:rFonts w:hint="eastAsia"/>
                <w:sz w:val="24"/>
              </w:rPr>
              <w:t>《</w:t>
            </w:r>
            <w:r>
              <w:rPr>
                <w:sz w:val="24"/>
              </w:rPr>
              <w:t>获嘉县产业集聚区</w:t>
            </w:r>
            <w:r>
              <w:rPr>
                <w:rFonts w:hint="eastAsia"/>
                <w:sz w:val="24"/>
              </w:rPr>
              <w:t>（</w:t>
            </w:r>
            <w:r>
              <w:rPr>
                <w:sz w:val="24"/>
              </w:rPr>
              <w:t>南区</w:t>
            </w:r>
            <w:r>
              <w:rPr>
                <w:rFonts w:hint="eastAsia"/>
                <w:sz w:val="24"/>
              </w:rPr>
              <w:t>）规划</w:t>
            </w:r>
            <w:r>
              <w:rPr>
                <w:sz w:val="24"/>
              </w:rPr>
              <w:t>用地布局图</w:t>
            </w:r>
            <w:r>
              <w:rPr>
                <w:rFonts w:hint="eastAsia"/>
                <w:sz w:val="24"/>
              </w:rPr>
              <w:t>》</w:t>
            </w:r>
            <w:r>
              <w:rPr>
                <w:sz w:val="24"/>
              </w:rPr>
              <w:t>（201</w:t>
            </w:r>
            <w:r>
              <w:rPr>
                <w:rFonts w:hint="eastAsia"/>
                <w:sz w:val="24"/>
              </w:rPr>
              <w:t>6</w:t>
            </w:r>
            <w:r>
              <w:rPr>
                <w:sz w:val="24"/>
              </w:rPr>
              <w:t>-2020）显示，本项目</w:t>
            </w:r>
            <w:r>
              <w:rPr>
                <w:rFonts w:hint="eastAsia"/>
                <w:sz w:val="24"/>
              </w:rPr>
              <w:t>选址</w:t>
            </w:r>
            <w:r>
              <w:rPr>
                <w:sz w:val="24"/>
              </w:rPr>
              <w:t>为二类工业用地（见附图</w:t>
            </w:r>
            <w:r>
              <w:rPr>
                <w:rFonts w:hint="eastAsia"/>
                <w:sz w:val="24"/>
              </w:rPr>
              <w:t>二</w:t>
            </w:r>
            <w:r>
              <w:rPr>
                <w:sz w:val="24"/>
              </w:rPr>
              <w:t>），符合集聚区用地规划。</w:t>
            </w:r>
          </w:p>
          <w:p>
            <w:pPr>
              <w:adjustRightInd w:val="0"/>
              <w:snapToGrid w:val="0"/>
              <w:spacing w:line="480" w:lineRule="exact"/>
              <w:ind w:firstLine="482" w:firstLineChars="200"/>
              <w:rPr>
                <w:b/>
                <w:bCs/>
                <w:color w:val="000000"/>
                <w:sz w:val="24"/>
              </w:rPr>
            </w:pPr>
            <w:r>
              <w:rPr>
                <w:rFonts w:hint="eastAsia"/>
                <w:b/>
                <w:bCs/>
                <w:color w:val="000000"/>
                <w:sz w:val="24"/>
              </w:rPr>
              <w:t>2、本项目与获嘉县产业集聚区总体发展规划环评结论及审查意见的相符性分析</w:t>
            </w:r>
          </w:p>
          <w:p>
            <w:pPr>
              <w:adjustRightInd w:val="0"/>
              <w:snapToGrid w:val="0"/>
              <w:spacing w:line="480" w:lineRule="exact"/>
              <w:ind w:firstLine="480" w:firstLineChars="200"/>
              <w:rPr>
                <w:rFonts w:eastAsia="黑体"/>
                <w:sz w:val="24"/>
              </w:rPr>
            </w:pPr>
            <w:r>
              <w:rPr>
                <w:rFonts w:eastAsia="黑体"/>
                <w:sz w:val="24"/>
              </w:rPr>
              <w:t>表</w:t>
            </w:r>
            <w:r>
              <w:rPr>
                <w:rFonts w:hint="eastAsia" w:eastAsia="黑体"/>
                <w:sz w:val="24"/>
              </w:rPr>
              <w:t>3</w:t>
            </w:r>
            <w:r>
              <w:rPr>
                <w:rFonts w:eastAsia="黑体"/>
                <w:sz w:val="24"/>
              </w:rPr>
              <w:t xml:space="preserve">   与集聚区</w:t>
            </w:r>
            <w:r>
              <w:rPr>
                <w:rFonts w:hint="eastAsia" w:eastAsia="黑体"/>
                <w:sz w:val="24"/>
              </w:rPr>
              <w:t>规划环评结论及审查意见</w:t>
            </w:r>
            <w:r>
              <w:rPr>
                <w:rFonts w:eastAsia="黑体"/>
                <w:sz w:val="24"/>
              </w:rPr>
              <w:t>相符性分析一览表</w:t>
            </w:r>
          </w:p>
          <w:tbl>
            <w:tblPr>
              <w:tblStyle w:val="16"/>
              <w:tblpPr w:leftFromText="180" w:rightFromText="180" w:vertAnchor="text" w:tblpXSpec="center" w:tblpY="1"/>
              <w:tblOverlap w:val="never"/>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3440"/>
              <w:gridCol w:w="2615"/>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7" w:type="dxa"/>
                  <w:tcBorders>
                    <w:top w:val="single" w:color="auto" w:sz="8" w:space="0"/>
                    <w:left w:val="nil"/>
                    <w:bottom w:val="single" w:color="auto" w:sz="4" w:space="0"/>
                    <w:right w:val="single" w:color="auto" w:sz="4" w:space="0"/>
                  </w:tcBorders>
                  <w:vAlign w:val="center"/>
                </w:tcPr>
                <w:p>
                  <w:pPr>
                    <w:jc w:val="center"/>
                    <w:rPr>
                      <w:b/>
                      <w:bCs/>
                      <w:szCs w:val="21"/>
                    </w:rPr>
                  </w:pPr>
                  <w:r>
                    <w:rPr>
                      <w:rFonts w:hint="eastAsia"/>
                      <w:b/>
                      <w:bCs/>
                      <w:szCs w:val="21"/>
                    </w:rPr>
                    <w:t>序号</w:t>
                  </w:r>
                </w:p>
              </w:tc>
              <w:tc>
                <w:tcPr>
                  <w:tcW w:w="3445" w:type="dxa"/>
                  <w:tcBorders>
                    <w:top w:val="single" w:color="auto" w:sz="8" w:space="0"/>
                    <w:left w:val="nil"/>
                    <w:bottom w:val="single" w:color="auto" w:sz="4" w:space="0"/>
                    <w:right w:val="single" w:color="auto" w:sz="4" w:space="0"/>
                  </w:tcBorders>
                  <w:vAlign w:val="center"/>
                </w:tcPr>
                <w:p>
                  <w:pPr>
                    <w:jc w:val="center"/>
                    <w:rPr>
                      <w:b/>
                      <w:bCs/>
                      <w:szCs w:val="21"/>
                    </w:rPr>
                  </w:pPr>
                  <w:r>
                    <w:rPr>
                      <w:rFonts w:hint="eastAsia"/>
                      <w:b/>
                      <w:bCs/>
                      <w:szCs w:val="21"/>
                    </w:rPr>
                    <w:t>规划环评结论及审查意见</w:t>
                  </w:r>
                </w:p>
              </w:tc>
              <w:tc>
                <w:tcPr>
                  <w:tcW w:w="2619"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本项目情况</w:t>
                  </w:r>
                </w:p>
              </w:tc>
              <w:tc>
                <w:tcPr>
                  <w:tcW w:w="801" w:type="dxa"/>
                  <w:tcBorders>
                    <w:top w:val="single" w:color="auto" w:sz="8" w:space="0"/>
                    <w:left w:val="nil"/>
                    <w:bottom w:val="single" w:color="auto" w:sz="4" w:space="0"/>
                    <w:right w:val="nil"/>
                  </w:tcBorders>
                  <w:vAlign w:val="center"/>
                </w:tcPr>
                <w:p>
                  <w:pPr>
                    <w:jc w:val="center"/>
                    <w:rPr>
                      <w:b/>
                      <w:bCs/>
                      <w:szCs w:val="21"/>
                    </w:rPr>
                  </w:pPr>
                  <w:r>
                    <w:rPr>
                      <w:rFonts w:hint="eastAsia"/>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7" w:type="dxa"/>
                  <w:tcBorders>
                    <w:top w:val="single" w:color="auto" w:sz="4" w:space="0"/>
                    <w:left w:val="nil"/>
                    <w:bottom w:val="single" w:color="auto" w:sz="4" w:space="0"/>
                    <w:right w:val="single" w:color="auto" w:sz="4" w:space="0"/>
                  </w:tcBorders>
                  <w:vAlign w:val="center"/>
                </w:tcPr>
                <w:p>
                  <w:pPr>
                    <w:pStyle w:val="54"/>
                    <w:ind w:left="0"/>
                    <w:jc w:val="center"/>
                    <w:rPr>
                      <w:rFonts w:ascii="Times New Roman" w:hAnsi="Times New Roman" w:cs="Times New Roman"/>
                      <w:b w:val="0"/>
                      <w:bCs w:val="0"/>
                      <w:sz w:val="21"/>
                      <w:szCs w:val="21"/>
                    </w:rPr>
                  </w:pPr>
                  <w:r>
                    <w:rPr>
                      <w:rFonts w:hint="eastAsia" w:ascii="Times New Roman" w:hAnsi="Times New Roman" w:cs="Times New Roman"/>
                      <w:b w:val="0"/>
                      <w:bCs w:val="0"/>
                      <w:sz w:val="21"/>
                      <w:szCs w:val="21"/>
                    </w:rPr>
                    <w:t>1</w:t>
                  </w:r>
                </w:p>
              </w:tc>
              <w:tc>
                <w:tcPr>
                  <w:tcW w:w="3445"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（三）严格产业的环境准入，引进项目的生产工艺、设备、污染治理技术，以及单位产品能耗、物耗、污染物排放和资源利用率均需达到同行业国际先进水平，积极推进产业的技术进步和园区循环化改造。</w:t>
                  </w:r>
                </w:p>
              </w:tc>
              <w:tc>
                <w:tcPr>
                  <w:tcW w:w="2619" w:type="dxa"/>
                  <w:tcBorders>
                    <w:top w:val="single" w:color="auto" w:sz="4" w:space="0"/>
                    <w:left w:val="nil"/>
                    <w:bottom w:val="single" w:color="auto" w:sz="4" w:space="0"/>
                    <w:right w:val="single" w:color="auto" w:sz="4" w:space="0"/>
                  </w:tcBorders>
                  <w:vAlign w:val="center"/>
                </w:tcPr>
                <w:p>
                  <w:pPr>
                    <w:pStyle w:val="54"/>
                    <w:spacing w:before="0" w:beforeAutospacing="0" w:after="0" w:afterAutospacing="0"/>
                    <w:ind w:left="0"/>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本项目属于</w:t>
                  </w:r>
                  <w:r>
                    <w:rPr>
                      <w:rFonts w:ascii="Times New Roman" w:hAnsi="Times New Roman" w:cs="Times New Roman"/>
                      <w:b w:val="0"/>
                      <w:bCs w:val="0"/>
                      <w:sz w:val="21"/>
                      <w:szCs w:val="21"/>
                    </w:rPr>
                    <w:t>卫生材料及医药用品制造</w:t>
                  </w:r>
                  <w:r>
                    <w:rPr>
                      <w:rFonts w:hint="eastAsia" w:ascii="Times New Roman" w:hAnsi="Times New Roman" w:cs="Times New Roman"/>
                      <w:b w:val="0"/>
                      <w:bCs w:val="0"/>
                      <w:sz w:val="21"/>
                      <w:szCs w:val="21"/>
                    </w:rPr>
                    <w:t>，生产工艺、设备、污染治理技术</w:t>
                  </w:r>
                  <w:r>
                    <w:rPr>
                      <w:rFonts w:ascii="Times New Roman" w:hAnsi="Times New Roman" w:cs="Times New Roman"/>
                      <w:b w:val="0"/>
                      <w:bCs w:val="0"/>
                      <w:sz w:val="21"/>
                      <w:szCs w:val="21"/>
                    </w:rPr>
                    <w:t>以及单位产品能耗、物耗、污染物排放和资源利用率</w:t>
                  </w:r>
                  <w:r>
                    <w:rPr>
                      <w:rFonts w:hint="eastAsia" w:ascii="Times New Roman" w:hAnsi="Times New Roman" w:cs="Times New Roman"/>
                      <w:b w:val="0"/>
                      <w:bCs w:val="0"/>
                      <w:sz w:val="21"/>
                      <w:szCs w:val="21"/>
                    </w:rPr>
                    <w:t>均达到同行业国际先进水平。</w:t>
                  </w:r>
                </w:p>
              </w:tc>
              <w:tc>
                <w:tcPr>
                  <w:tcW w:w="801"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7" w:type="dxa"/>
                  <w:tcBorders>
                    <w:top w:val="single" w:color="auto" w:sz="4" w:space="0"/>
                    <w:left w:val="nil"/>
                    <w:bottom w:val="single" w:color="auto" w:sz="4" w:space="0"/>
                    <w:right w:val="single" w:color="auto" w:sz="4" w:space="0"/>
                  </w:tcBorders>
                  <w:vAlign w:val="center"/>
                </w:tcPr>
                <w:p>
                  <w:pPr>
                    <w:pStyle w:val="54"/>
                    <w:ind w:left="0"/>
                    <w:jc w:val="center"/>
                    <w:rPr>
                      <w:rFonts w:ascii="Times New Roman" w:hAnsi="Times New Roman" w:cs="Times New Roman"/>
                      <w:b w:val="0"/>
                      <w:bCs w:val="0"/>
                      <w:sz w:val="21"/>
                      <w:szCs w:val="21"/>
                    </w:rPr>
                  </w:pPr>
                  <w:r>
                    <w:rPr>
                      <w:rFonts w:hint="eastAsia" w:ascii="Times New Roman" w:hAnsi="Times New Roman" w:cs="Times New Roman"/>
                      <w:b w:val="0"/>
                      <w:bCs w:val="0"/>
                      <w:sz w:val="21"/>
                      <w:szCs w:val="21"/>
                    </w:rPr>
                    <w:t>2</w:t>
                  </w:r>
                </w:p>
              </w:tc>
              <w:tc>
                <w:tcPr>
                  <w:tcW w:w="3445" w:type="dxa"/>
                  <w:tcBorders>
                    <w:top w:val="single" w:color="auto" w:sz="4" w:space="0"/>
                    <w:left w:val="nil"/>
                    <w:bottom w:val="single" w:color="auto" w:sz="4" w:space="0"/>
                    <w:right w:val="single" w:color="auto" w:sz="4" w:space="0"/>
                  </w:tcBorders>
                  <w:vAlign w:val="center"/>
                </w:tcPr>
                <w:p>
                  <w:pPr>
                    <w:pStyle w:val="5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（四）落实污染物排放总量控制要求，采取有效措施减少SO</w:t>
                  </w:r>
                  <w:r>
                    <w:rPr>
                      <w:rFonts w:ascii="Times New Roman" w:hAnsi="Times New Roman" w:cs="Times New Roman"/>
                      <w:b w:val="0"/>
                      <w:bCs w:val="0"/>
                      <w:sz w:val="21"/>
                      <w:szCs w:val="21"/>
                      <w:vertAlign w:val="subscript"/>
                    </w:rPr>
                    <w:t>2</w:t>
                  </w:r>
                  <w:r>
                    <w:rPr>
                      <w:rFonts w:ascii="Times New Roman" w:hAnsi="Times New Roman" w:cs="Times New Roman"/>
                      <w:b w:val="0"/>
                      <w:bCs w:val="0"/>
                      <w:sz w:val="21"/>
                      <w:szCs w:val="21"/>
                    </w:rPr>
                    <w:t>、NO</w:t>
                  </w:r>
                  <w:r>
                    <w:rPr>
                      <w:rFonts w:ascii="Times New Roman" w:hAnsi="Times New Roman" w:cs="Times New Roman"/>
                      <w:b w:val="0"/>
                      <w:bCs w:val="0"/>
                      <w:sz w:val="21"/>
                      <w:szCs w:val="21"/>
                      <w:vertAlign w:val="subscript"/>
                    </w:rPr>
                    <w:t>X</w:t>
                  </w:r>
                  <w:r>
                    <w:rPr>
                      <w:rFonts w:ascii="Times New Roman" w:hAnsi="Times New Roman" w:cs="Times New Roman"/>
                      <w:b w:val="0"/>
                      <w:bCs w:val="0"/>
                      <w:sz w:val="21"/>
                      <w:szCs w:val="21"/>
                    </w:rPr>
                    <w:t>、VOC、COD、氨氮、重金属等污染物的排放量，切实维护和改善区域环境质量和生态功能。</w:t>
                  </w:r>
                </w:p>
              </w:tc>
              <w:tc>
                <w:tcPr>
                  <w:tcW w:w="2619" w:type="dxa"/>
                  <w:tcBorders>
                    <w:top w:val="single" w:color="auto" w:sz="4" w:space="0"/>
                    <w:left w:val="nil"/>
                    <w:bottom w:val="single" w:color="auto" w:sz="4" w:space="0"/>
                    <w:right w:val="single" w:color="auto" w:sz="4" w:space="0"/>
                  </w:tcBorders>
                  <w:vAlign w:val="center"/>
                </w:tcPr>
                <w:p>
                  <w:pPr>
                    <w:pStyle w:val="54"/>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本项目严格落实污染物排放总量控制要求，采用水喷淋装置治理措施有效减少VOC（环氧乙烷，以非甲烷总烃计）排放量。</w:t>
                  </w:r>
                </w:p>
              </w:tc>
              <w:tc>
                <w:tcPr>
                  <w:tcW w:w="801"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bl>
          <w:p>
            <w:pPr>
              <w:autoSpaceDE w:val="0"/>
              <w:autoSpaceDN w:val="0"/>
              <w:adjustRightInd w:val="0"/>
              <w:snapToGrid w:val="0"/>
              <w:spacing w:line="460" w:lineRule="exact"/>
              <w:rPr>
                <w:color w:val="FF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tc>
        <w:tc>
          <w:tcPr>
            <w:tcW w:w="7723" w:type="dxa"/>
            <w:gridSpan w:val="3"/>
            <w:vAlign w:val="center"/>
          </w:tcPr>
          <w:p>
            <w:pPr>
              <w:autoSpaceDE w:val="0"/>
              <w:autoSpaceDN w:val="0"/>
              <w:adjustRightInd w:val="0"/>
              <w:snapToGrid w:val="0"/>
              <w:spacing w:line="480" w:lineRule="exact"/>
              <w:ind w:firstLine="482" w:firstLineChars="200"/>
              <w:rPr>
                <w:b/>
                <w:kern w:val="0"/>
                <w:sz w:val="24"/>
              </w:rPr>
            </w:pPr>
            <w:r>
              <w:rPr>
                <w:b/>
                <w:kern w:val="0"/>
                <w:sz w:val="24"/>
              </w:rPr>
              <w:t>1、与《建设项目环境影响评价分类管理名录》（2021年版）相符性分析</w:t>
            </w:r>
          </w:p>
          <w:p>
            <w:pPr>
              <w:autoSpaceDE w:val="0"/>
              <w:autoSpaceDN w:val="0"/>
              <w:adjustRightInd w:val="0"/>
              <w:snapToGrid w:val="0"/>
              <w:spacing w:line="480" w:lineRule="exact"/>
              <w:ind w:firstLine="480" w:firstLineChars="200"/>
              <w:rPr>
                <w:kern w:val="0"/>
                <w:sz w:val="24"/>
              </w:rPr>
            </w:pPr>
            <w:r>
              <w:rPr>
                <w:kern w:val="0"/>
                <w:sz w:val="24"/>
              </w:rPr>
              <w:t>经查阅《建设项目环境影响评价分类管理名录》（</w:t>
            </w:r>
            <w:r>
              <w:rPr>
                <w:rFonts w:hint="eastAsia"/>
                <w:kern w:val="0"/>
                <w:sz w:val="24"/>
              </w:rPr>
              <w:t>202</w:t>
            </w:r>
            <w:r>
              <w:rPr>
                <w:kern w:val="0"/>
                <w:sz w:val="24"/>
              </w:rPr>
              <w:t>1版），本项目属于</w:t>
            </w:r>
            <w:r>
              <w:rPr>
                <w:rFonts w:hint="eastAsia"/>
                <w:kern w:val="0"/>
                <w:sz w:val="24"/>
              </w:rPr>
              <w:t>二十四项“医药制造业2</w:t>
            </w:r>
            <w:r>
              <w:rPr>
                <w:kern w:val="0"/>
                <w:sz w:val="24"/>
              </w:rPr>
              <w:t>7</w:t>
            </w:r>
            <w:r>
              <w:rPr>
                <w:rFonts w:hint="eastAsia"/>
                <w:kern w:val="0"/>
                <w:sz w:val="24"/>
              </w:rPr>
              <w:t>”第</w:t>
            </w:r>
            <w:r>
              <w:rPr>
                <w:kern w:val="0"/>
                <w:sz w:val="24"/>
              </w:rPr>
              <w:t>49</w:t>
            </w:r>
            <w:r>
              <w:rPr>
                <w:rFonts w:hint="eastAsia"/>
                <w:kern w:val="0"/>
                <w:sz w:val="24"/>
              </w:rPr>
              <w:t>条“卫生材料及医药用品制造2</w:t>
            </w:r>
            <w:r>
              <w:rPr>
                <w:kern w:val="0"/>
                <w:sz w:val="24"/>
              </w:rPr>
              <w:t>77</w:t>
            </w:r>
            <w:r>
              <w:rPr>
                <w:rFonts w:hint="eastAsia"/>
                <w:kern w:val="0"/>
                <w:sz w:val="24"/>
              </w:rPr>
              <w:t>”。名录规定：“卫生材料及医药用品制造（仅组装、分装的除外）；含有机合成反应的用药辅料制造；含有机合成反应的包装材料制造”的项目应编制环境影响评价报告表。本项目产品为口罩，</w:t>
            </w:r>
            <w:r>
              <w:rPr>
                <w:kern w:val="0"/>
                <w:sz w:val="24"/>
              </w:rPr>
              <w:t>生产工艺为</w:t>
            </w:r>
            <w:r>
              <w:rPr>
                <w:rFonts w:hint="eastAsia"/>
                <w:kern w:val="0"/>
                <w:sz w:val="24"/>
              </w:rPr>
              <w:t>：原材料检验-复合折叠</w:t>
            </w:r>
            <w:r>
              <w:rPr>
                <w:kern w:val="0"/>
                <w:sz w:val="24"/>
              </w:rPr>
              <w:t>—</w:t>
            </w:r>
            <w:r>
              <w:rPr>
                <w:rFonts w:hint="eastAsia"/>
                <w:kern w:val="0"/>
                <w:sz w:val="24"/>
              </w:rPr>
              <w:t>成型切片-上带-内包装-过程检验-外包装-灭菌解析-成品检验-入库，按要求本项目</w:t>
            </w:r>
            <w:r>
              <w:rPr>
                <w:kern w:val="0"/>
                <w:sz w:val="24"/>
              </w:rPr>
              <w:t>需编制环境影响评价报告表</w:t>
            </w:r>
            <w:r>
              <w:rPr>
                <w:rFonts w:hint="eastAsia"/>
                <w:kern w:val="0"/>
                <w:sz w:val="24"/>
              </w:rPr>
              <w:t>。</w:t>
            </w:r>
          </w:p>
          <w:p>
            <w:pPr>
              <w:autoSpaceDE w:val="0"/>
              <w:autoSpaceDN w:val="0"/>
              <w:adjustRightInd w:val="0"/>
              <w:snapToGrid w:val="0"/>
              <w:spacing w:line="480" w:lineRule="exact"/>
              <w:ind w:firstLine="482" w:firstLineChars="200"/>
              <w:rPr>
                <w:b/>
                <w:kern w:val="0"/>
                <w:sz w:val="24"/>
              </w:rPr>
            </w:pPr>
            <w:r>
              <w:rPr>
                <w:b/>
                <w:kern w:val="0"/>
                <w:sz w:val="24"/>
              </w:rPr>
              <w:t>2、</w:t>
            </w:r>
            <w:r>
              <w:rPr>
                <w:b/>
                <w:bCs/>
                <w:kern w:val="0"/>
                <w:sz w:val="24"/>
              </w:rPr>
              <w:t>与产业政策相符性分析</w:t>
            </w:r>
          </w:p>
          <w:p>
            <w:pPr>
              <w:pStyle w:val="5"/>
              <w:adjustRightInd w:val="0"/>
              <w:snapToGrid w:val="0"/>
              <w:spacing w:line="480" w:lineRule="exact"/>
              <w:ind w:firstLine="480" w:firstLineChars="200"/>
              <w:jc w:val="both"/>
              <w:rPr>
                <w:color w:val="000000"/>
                <w:szCs w:val="24"/>
                <w:highlight w:val="yellow"/>
                <w:lang w:val="en-US"/>
              </w:rPr>
            </w:pPr>
            <w:r>
              <w:rPr>
                <w:rFonts w:hint="eastAsia"/>
                <w:color w:val="000000"/>
                <w:szCs w:val="24"/>
                <w:lang w:val="en-US"/>
              </w:rPr>
              <w:t>经查阅</w:t>
            </w:r>
            <w:r>
              <w:rPr>
                <w:color w:val="000000"/>
                <w:szCs w:val="24"/>
                <w:lang w:val="en-US"/>
              </w:rPr>
              <w:t>《产业结构调整指导目录（201</w:t>
            </w:r>
            <w:r>
              <w:rPr>
                <w:rFonts w:hint="eastAsia"/>
                <w:color w:val="000000"/>
                <w:szCs w:val="24"/>
                <w:lang w:val="en-US"/>
              </w:rPr>
              <w:t>9</w:t>
            </w:r>
            <w:r>
              <w:rPr>
                <w:color w:val="000000"/>
                <w:szCs w:val="24"/>
                <w:lang w:val="en-US"/>
              </w:rPr>
              <w:t>年本）》，</w:t>
            </w:r>
            <w:r>
              <w:rPr>
                <w:bCs/>
                <w:color w:val="000000"/>
                <w:szCs w:val="24"/>
                <w:lang w:val="en-US"/>
              </w:rPr>
              <w:t>该项目生产规模、生产设备、生产工艺均不属于“鼓励类”</w:t>
            </w:r>
            <w:r>
              <w:rPr>
                <w:rFonts w:hint="eastAsia"/>
                <w:bCs/>
                <w:color w:val="000000"/>
                <w:szCs w:val="24"/>
                <w:lang w:val="en-US"/>
              </w:rPr>
              <w:t>、</w:t>
            </w:r>
            <w:r>
              <w:rPr>
                <w:bCs/>
                <w:color w:val="000000"/>
                <w:szCs w:val="24"/>
                <w:lang w:val="en-US"/>
              </w:rPr>
              <w:t>“限制类”</w:t>
            </w:r>
            <w:r>
              <w:rPr>
                <w:rFonts w:hint="eastAsia"/>
                <w:bCs/>
                <w:color w:val="000000"/>
                <w:szCs w:val="24"/>
                <w:lang w:val="en-US"/>
              </w:rPr>
              <w:t>或</w:t>
            </w:r>
            <w:r>
              <w:rPr>
                <w:bCs/>
                <w:color w:val="000000"/>
                <w:szCs w:val="24"/>
                <w:lang w:val="en-US"/>
              </w:rPr>
              <w:t>“淘汰类”，为</w:t>
            </w:r>
            <w:r>
              <w:rPr>
                <w:rFonts w:hint="eastAsia"/>
                <w:bCs/>
                <w:color w:val="000000"/>
                <w:szCs w:val="24"/>
                <w:lang w:val="en-US"/>
              </w:rPr>
              <w:t>“允许类”</w:t>
            </w:r>
            <w:r>
              <w:rPr>
                <w:bCs/>
                <w:color w:val="000000"/>
                <w:szCs w:val="24"/>
                <w:lang w:val="en-US"/>
              </w:rPr>
              <w:t>，符合国家产业政策要求。</w:t>
            </w:r>
            <w:r>
              <w:rPr>
                <w:rFonts w:hint="eastAsia"/>
                <w:color w:val="000000"/>
                <w:szCs w:val="24"/>
                <w:lang w:val="en-US"/>
              </w:rPr>
              <w:t>本项目已通过获嘉县</w:t>
            </w:r>
            <w:r>
              <w:rPr>
                <w:color w:val="000000"/>
                <w:szCs w:val="24"/>
                <w:lang w:val="en-US"/>
              </w:rPr>
              <w:t>发展和改革委员会</w:t>
            </w:r>
            <w:r>
              <w:rPr>
                <w:rFonts w:hint="eastAsia"/>
                <w:color w:val="000000"/>
                <w:szCs w:val="24"/>
                <w:lang w:val="en-US"/>
              </w:rPr>
              <w:t>备案。</w:t>
            </w:r>
          </w:p>
          <w:p>
            <w:pPr>
              <w:adjustRightInd w:val="0"/>
              <w:snapToGrid w:val="0"/>
              <w:spacing w:line="480" w:lineRule="exact"/>
              <w:ind w:firstLine="480" w:firstLineChars="200"/>
              <w:rPr>
                <w:color w:val="000000"/>
                <w:sz w:val="24"/>
              </w:rPr>
            </w:pPr>
            <w:r>
              <w:rPr>
                <w:color w:val="000000"/>
                <w:sz w:val="24"/>
              </w:rPr>
              <w:t>本项目</w:t>
            </w:r>
            <w:r>
              <w:rPr>
                <w:rFonts w:hint="eastAsia"/>
                <w:color w:val="000000"/>
                <w:sz w:val="24"/>
              </w:rPr>
              <w:t>情况与</w:t>
            </w:r>
            <w:r>
              <w:rPr>
                <w:color w:val="000000"/>
                <w:sz w:val="24"/>
              </w:rPr>
              <w:t>产业政策相符性见</w:t>
            </w:r>
            <w:r>
              <w:rPr>
                <w:rFonts w:hint="eastAsia"/>
                <w:color w:val="000000"/>
                <w:sz w:val="24"/>
              </w:rPr>
              <w:t>下表</w:t>
            </w:r>
            <w:r>
              <w:rPr>
                <w:color w:val="000000"/>
                <w:sz w:val="24"/>
              </w:rPr>
              <w:t>。</w:t>
            </w:r>
          </w:p>
          <w:p>
            <w:pPr>
              <w:adjustRightInd w:val="0"/>
              <w:snapToGrid w:val="0"/>
              <w:spacing w:line="480" w:lineRule="exact"/>
              <w:ind w:firstLine="480" w:firstLineChars="200"/>
              <w:rPr>
                <w:rFonts w:eastAsia="黑体"/>
                <w:color w:val="000000"/>
                <w:sz w:val="24"/>
                <w:lang w:val="pt-BR"/>
              </w:rPr>
            </w:pPr>
          </w:p>
          <w:p>
            <w:pPr>
              <w:adjustRightInd w:val="0"/>
              <w:snapToGrid w:val="0"/>
              <w:spacing w:line="480" w:lineRule="exact"/>
              <w:ind w:firstLine="480" w:firstLineChars="200"/>
              <w:rPr>
                <w:rFonts w:eastAsia="黑体"/>
                <w:color w:val="000000"/>
                <w:sz w:val="24"/>
                <w:lang w:val="pt-BR"/>
              </w:rPr>
            </w:pPr>
          </w:p>
          <w:p>
            <w:pPr>
              <w:adjustRightInd w:val="0"/>
              <w:snapToGrid w:val="0"/>
              <w:spacing w:line="480" w:lineRule="exact"/>
              <w:ind w:firstLine="480" w:firstLineChars="200"/>
              <w:rPr>
                <w:rFonts w:eastAsia="黑体"/>
                <w:color w:val="000000"/>
                <w:sz w:val="24"/>
                <w:lang w:val="pt-BR"/>
              </w:rPr>
            </w:pPr>
            <w:r>
              <w:rPr>
                <w:rFonts w:eastAsia="黑体"/>
                <w:color w:val="000000"/>
                <w:sz w:val="24"/>
                <w:lang w:val="pt-BR"/>
              </w:rPr>
              <w:t>表</w:t>
            </w:r>
            <w:r>
              <w:rPr>
                <w:rFonts w:eastAsia="黑体"/>
                <w:color w:val="000000"/>
                <w:sz w:val="24"/>
              </w:rPr>
              <w:t xml:space="preserve">4  </w:t>
            </w:r>
            <w:r>
              <w:rPr>
                <w:rFonts w:eastAsia="黑体"/>
                <w:color w:val="000000"/>
                <w:sz w:val="24"/>
                <w:lang w:val="pt-BR"/>
              </w:rPr>
              <w:t xml:space="preserve"> </w:t>
            </w:r>
            <w:r>
              <w:rPr>
                <w:rFonts w:eastAsia="黑体"/>
                <w:color w:val="000000"/>
                <w:sz w:val="24"/>
              </w:rPr>
              <w:t xml:space="preserve">          </w:t>
            </w:r>
            <w:r>
              <w:rPr>
                <w:rFonts w:eastAsia="黑体"/>
                <w:color w:val="000000"/>
                <w:sz w:val="24"/>
                <w:lang w:val="pt-BR"/>
              </w:rPr>
              <w:t>项目与产业政策相符性分析</w:t>
            </w:r>
          </w:p>
          <w:tbl>
            <w:tblPr>
              <w:tblStyle w:val="16"/>
              <w:tblW w:w="495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5"/>
              <w:gridCol w:w="1009"/>
              <w:gridCol w:w="865"/>
              <w:gridCol w:w="2017"/>
              <w:gridCol w:w="2306"/>
              <w:gridCol w:w="8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80" w:type="dxa"/>
                  <w:gridSpan w:val="2"/>
                  <w:tcBorders>
                    <w:top w:val="single" w:color="auto" w:sz="8" w:space="0"/>
                  </w:tcBorders>
                  <w:vAlign w:val="center"/>
                </w:tcPr>
                <w:p>
                  <w:pPr>
                    <w:jc w:val="center"/>
                    <w:rPr>
                      <w:b/>
                      <w:color w:val="000000"/>
                      <w:szCs w:val="21"/>
                    </w:rPr>
                  </w:pPr>
                  <w:r>
                    <w:rPr>
                      <w:b/>
                      <w:color w:val="000000"/>
                      <w:szCs w:val="21"/>
                    </w:rPr>
                    <w:t>类别</w:t>
                  </w:r>
                </w:p>
              </w:tc>
              <w:tc>
                <w:tcPr>
                  <w:tcW w:w="851" w:type="dxa"/>
                  <w:tcBorders>
                    <w:top w:val="single" w:color="auto" w:sz="8" w:space="0"/>
                  </w:tcBorders>
                  <w:vAlign w:val="center"/>
                </w:tcPr>
                <w:p>
                  <w:pPr>
                    <w:jc w:val="center"/>
                    <w:rPr>
                      <w:b/>
                      <w:color w:val="000000"/>
                      <w:szCs w:val="21"/>
                    </w:rPr>
                  </w:pPr>
                  <w:r>
                    <w:rPr>
                      <w:b/>
                      <w:color w:val="000000"/>
                      <w:szCs w:val="21"/>
                    </w:rPr>
                    <w:t>条款</w:t>
                  </w:r>
                </w:p>
              </w:tc>
              <w:tc>
                <w:tcPr>
                  <w:tcW w:w="1984" w:type="dxa"/>
                  <w:tcBorders>
                    <w:top w:val="single" w:color="auto" w:sz="8" w:space="0"/>
                  </w:tcBorders>
                  <w:vAlign w:val="center"/>
                </w:tcPr>
                <w:p>
                  <w:pPr>
                    <w:jc w:val="center"/>
                    <w:rPr>
                      <w:b/>
                      <w:color w:val="000000"/>
                      <w:szCs w:val="21"/>
                    </w:rPr>
                  </w:pPr>
                  <w:r>
                    <w:rPr>
                      <w:b/>
                      <w:color w:val="000000"/>
                      <w:szCs w:val="21"/>
                    </w:rPr>
                    <w:t>内容</w:t>
                  </w:r>
                </w:p>
              </w:tc>
              <w:tc>
                <w:tcPr>
                  <w:tcW w:w="2268" w:type="dxa"/>
                  <w:tcBorders>
                    <w:top w:val="single" w:color="auto" w:sz="8" w:space="0"/>
                  </w:tcBorders>
                  <w:vAlign w:val="center"/>
                </w:tcPr>
                <w:p>
                  <w:pPr>
                    <w:jc w:val="center"/>
                    <w:rPr>
                      <w:b/>
                      <w:color w:val="000000"/>
                      <w:szCs w:val="21"/>
                    </w:rPr>
                  </w:pPr>
                  <w:r>
                    <w:rPr>
                      <w:b/>
                      <w:color w:val="000000"/>
                      <w:szCs w:val="21"/>
                    </w:rPr>
                    <w:t>本项目情况</w:t>
                  </w:r>
                </w:p>
              </w:tc>
              <w:tc>
                <w:tcPr>
                  <w:tcW w:w="826" w:type="dxa"/>
                  <w:tcBorders>
                    <w:top w:val="single" w:color="auto" w:sz="8" w:space="0"/>
                  </w:tcBorders>
                  <w:vAlign w:val="center"/>
                </w:tcPr>
                <w:p>
                  <w:pPr>
                    <w:jc w:val="center"/>
                    <w:rPr>
                      <w:b/>
                      <w:color w:val="000000"/>
                      <w:szCs w:val="21"/>
                    </w:rPr>
                  </w:pPr>
                  <w:r>
                    <w:rPr>
                      <w:b/>
                      <w:color w:val="000000"/>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80" w:type="dxa"/>
                  <w:gridSpan w:val="2"/>
                  <w:vAlign w:val="center"/>
                </w:tcPr>
                <w:p>
                  <w:pPr>
                    <w:jc w:val="center"/>
                    <w:rPr>
                      <w:color w:val="000000"/>
                      <w:szCs w:val="21"/>
                    </w:rPr>
                  </w:pPr>
                  <w:r>
                    <w:rPr>
                      <w:color w:val="000000"/>
                      <w:szCs w:val="21"/>
                    </w:rPr>
                    <w:t>鼓励类</w:t>
                  </w:r>
                </w:p>
              </w:tc>
              <w:tc>
                <w:tcPr>
                  <w:tcW w:w="851" w:type="dxa"/>
                  <w:vAlign w:val="center"/>
                </w:tcPr>
                <w:p>
                  <w:pPr>
                    <w:jc w:val="center"/>
                    <w:rPr>
                      <w:color w:val="000000"/>
                      <w:szCs w:val="21"/>
                    </w:rPr>
                  </w:pPr>
                  <w:r>
                    <w:rPr>
                      <w:rFonts w:hint="eastAsia"/>
                      <w:color w:val="000000"/>
                      <w:szCs w:val="21"/>
                    </w:rPr>
                    <w:t>十三、医药</w:t>
                  </w:r>
                </w:p>
              </w:tc>
              <w:tc>
                <w:tcPr>
                  <w:tcW w:w="1984" w:type="dxa"/>
                  <w:vAlign w:val="center"/>
                </w:tcPr>
                <w:p>
                  <w:pPr>
                    <w:jc w:val="center"/>
                    <w:rPr>
                      <w:color w:val="000000"/>
                      <w:szCs w:val="21"/>
                    </w:rPr>
                  </w:pPr>
                  <w:r>
                    <w:rPr>
                      <w:rFonts w:hint="eastAsia"/>
                      <w:color w:val="000000"/>
                      <w:szCs w:val="21"/>
                    </w:rPr>
                    <w:t>查阅无相关对应条款</w:t>
                  </w:r>
                </w:p>
              </w:tc>
              <w:tc>
                <w:tcPr>
                  <w:tcW w:w="2268" w:type="dxa"/>
                  <w:vAlign w:val="center"/>
                </w:tcPr>
                <w:p>
                  <w:pPr>
                    <w:pStyle w:val="5"/>
                    <w:jc w:val="center"/>
                    <w:rPr>
                      <w:color w:val="000000"/>
                      <w:sz w:val="21"/>
                      <w:szCs w:val="21"/>
                      <w:lang w:val="en-US"/>
                    </w:rPr>
                  </w:pPr>
                  <w:r>
                    <w:rPr>
                      <w:color w:val="000000"/>
                      <w:sz w:val="21"/>
                      <w:szCs w:val="21"/>
                      <w:lang w:val="en-US"/>
                    </w:rPr>
                    <w:t>本项目为年产</w:t>
                  </w:r>
                  <w:r>
                    <w:rPr>
                      <w:rFonts w:hint="eastAsia"/>
                      <w:color w:val="000000"/>
                      <w:sz w:val="21"/>
                      <w:szCs w:val="21"/>
                      <w:lang w:val="en-US"/>
                    </w:rPr>
                    <w:t>1</w:t>
                  </w:r>
                  <w:r>
                    <w:rPr>
                      <w:color w:val="000000"/>
                      <w:sz w:val="21"/>
                      <w:szCs w:val="21"/>
                      <w:lang w:val="en-US"/>
                    </w:rPr>
                    <w:t>000万支口罩建设项目</w:t>
                  </w:r>
                </w:p>
              </w:tc>
              <w:tc>
                <w:tcPr>
                  <w:tcW w:w="826" w:type="dxa"/>
                  <w:vAlign w:val="center"/>
                </w:tcPr>
                <w:p>
                  <w:pPr>
                    <w:jc w:val="center"/>
                    <w:rPr>
                      <w:color w:val="000000"/>
                      <w:szCs w:val="21"/>
                    </w:rPr>
                  </w:pPr>
                  <w:r>
                    <w:rPr>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80" w:type="dxa"/>
                  <w:gridSpan w:val="2"/>
                  <w:vAlign w:val="center"/>
                </w:tcPr>
                <w:p>
                  <w:pPr>
                    <w:jc w:val="center"/>
                    <w:rPr>
                      <w:color w:val="000000"/>
                      <w:szCs w:val="21"/>
                    </w:rPr>
                  </w:pPr>
                  <w:r>
                    <w:rPr>
                      <w:color w:val="000000"/>
                      <w:szCs w:val="21"/>
                    </w:rPr>
                    <w:t>限制类</w:t>
                  </w:r>
                </w:p>
              </w:tc>
              <w:tc>
                <w:tcPr>
                  <w:tcW w:w="851" w:type="dxa"/>
                  <w:vAlign w:val="center"/>
                </w:tcPr>
                <w:p>
                  <w:pPr>
                    <w:jc w:val="center"/>
                    <w:rPr>
                      <w:color w:val="000000"/>
                      <w:szCs w:val="21"/>
                    </w:rPr>
                  </w:pPr>
                  <w:r>
                    <w:rPr>
                      <w:rFonts w:hint="eastAsia"/>
                      <w:color w:val="000000"/>
                      <w:szCs w:val="21"/>
                    </w:rPr>
                    <w:t>十、医药</w:t>
                  </w:r>
                </w:p>
              </w:tc>
              <w:tc>
                <w:tcPr>
                  <w:tcW w:w="1984" w:type="dxa"/>
                  <w:vAlign w:val="center"/>
                </w:tcPr>
                <w:p>
                  <w:pPr>
                    <w:jc w:val="center"/>
                    <w:rPr>
                      <w:color w:val="000000"/>
                      <w:szCs w:val="21"/>
                    </w:rPr>
                  </w:pPr>
                  <w:r>
                    <w:rPr>
                      <w:rFonts w:hint="eastAsia"/>
                      <w:color w:val="000000"/>
                      <w:szCs w:val="21"/>
                    </w:rPr>
                    <w:t>查阅无相关对应条款</w:t>
                  </w:r>
                </w:p>
              </w:tc>
              <w:tc>
                <w:tcPr>
                  <w:tcW w:w="2268" w:type="dxa"/>
                  <w:vAlign w:val="center"/>
                </w:tcPr>
                <w:p>
                  <w:pPr>
                    <w:jc w:val="center"/>
                    <w:rPr>
                      <w:color w:val="000000"/>
                      <w:szCs w:val="21"/>
                    </w:rPr>
                  </w:pPr>
                  <w:r>
                    <w:rPr>
                      <w:color w:val="000000"/>
                      <w:szCs w:val="21"/>
                    </w:rPr>
                    <w:t>本项目为年产</w:t>
                  </w:r>
                  <w:r>
                    <w:rPr>
                      <w:rFonts w:hint="eastAsia"/>
                      <w:color w:val="000000"/>
                      <w:szCs w:val="21"/>
                    </w:rPr>
                    <w:t>1</w:t>
                  </w:r>
                  <w:r>
                    <w:rPr>
                      <w:color w:val="000000"/>
                      <w:szCs w:val="21"/>
                    </w:rPr>
                    <w:t>000万支口罩建设项目</w:t>
                  </w:r>
                </w:p>
              </w:tc>
              <w:tc>
                <w:tcPr>
                  <w:tcW w:w="826" w:type="dxa"/>
                  <w:vAlign w:val="center"/>
                </w:tcPr>
                <w:p>
                  <w:pPr>
                    <w:jc w:val="center"/>
                    <w:rPr>
                      <w:color w:val="000000"/>
                      <w:szCs w:val="21"/>
                    </w:rPr>
                  </w:pPr>
                  <w:r>
                    <w:rPr>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8" w:type="dxa"/>
                  <w:vMerge w:val="restart"/>
                  <w:vAlign w:val="center"/>
                </w:tcPr>
                <w:p>
                  <w:pPr>
                    <w:jc w:val="center"/>
                    <w:rPr>
                      <w:color w:val="000000"/>
                      <w:szCs w:val="21"/>
                    </w:rPr>
                  </w:pPr>
                  <w:r>
                    <w:rPr>
                      <w:color w:val="000000"/>
                      <w:szCs w:val="21"/>
                    </w:rPr>
                    <w:t>淘汰类</w:t>
                  </w:r>
                </w:p>
              </w:tc>
              <w:tc>
                <w:tcPr>
                  <w:tcW w:w="992" w:type="dxa"/>
                  <w:vAlign w:val="center"/>
                </w:tcPr>
                <w:p>
                  <w:pPr>
                    <w:jc w:val="center"/>
                    <w:rPr>
                      <w:color w:val="000000"/>
                      <w:szCs w:val="21"/>
                    </w:rPr>
                  </w:pPr>
                  <w:r>
                    <w:rPr>
                      <w:color w:val="000000"/>
                      <w:szCs w:val="21"/>
                    </w:rPr>
                    <w:t>落后生产工艺装备</w:t>
                  </w:r>
                </w:p>
              </w:tc>
              <w:tc>
                <w:tcPr>
                  <w:tcW w:w="851" w:type="dxa"/>
                  <w:vAlign w:val="center"/>
                </w:tcPr>
                <w:p>
                  <w:pPr>
                    <w:jc w:val="center"/>
                    <w:rPr>
                      <w:color w:val="000000"/>
                      <w:szCs w:val="21"/>
                    </w:rPr>
                  </w:pPr>
                  <w:r>
                    <w:rPr>
                      <w:rFonts w:hint="eastAsia"/>
                      <w:color w:val="000000"/>
                      <w:szCs w:val="21"/>
                    </w:rPr>
                    <w:t>九、医药</w:t>
                  </w:r>
                </w:p>
              </w:tc>
              <w:tc>
                <w:tcPr>
                  <w:tcW w:w="1984" w:type="dxa"/>
                  <w:vAlign w:val="center"/>
                </w:tcPr>
                <w:p>
                  <w:pPr>
                    <w:pStyle w:val="5"/>
                    <w:jc w:val="center"/>
                    <w:rPr>
                      <w:color w:val="000000"/>
                      <w:sz w:val="21"/>
                      <w:szCs w:val="21"/>
                      <w:lang w:val="en-US"/>
                    </w:rPr>
                  </w:pPr>
                  <w:r>
                    <w:rPr>
                      <w:color w:val="000000"/>
                      <w:sz w:val="21"/>
                      <w:szCs w:val="21"/>
                      <w:lang w:val="en-US"/>
                    </w:rPr>
                    <w:t>查阅无相关对应条款</w:t>
                  </w:r>
                </w:p>
              </w:tc>
              <w:tc>
                <w:tcPr>
                  <w:tcW w:w="2268" w:type="dxa"/>
                  <w:vAlign w:val="center"/>
                </w:tcPr>
                <w:p>
                  <w:pPr>
                    <w:pStyle w:val="5"/>
                    <w:jc w:val="center"/>
                    <w:rPr>
                      <w:color w:val="000000"/>
                      <w:lang w:val="en-US"/>
                    </w:rPr>
                  </w:pPr>
                  <w:r>
                    <w:rPr>
                      <w:color w:val="000000"/>
                      <w:sz w:val="21"/>
                      <w:szCs w:val="21"/>
                      <w:lang w:val="en-US"/>
                    </w:rPr>
                    <w:t>本项目</w:t>
                  </w:r>
                  <w:r>
                    <w:rPr>
                      <w:rFonts w:hint="eastAsia"/>
                      <w:color w:val="000000"/>
                      <w:sz w:val="21"/>
                      <w:szCs w:val="21"/>
                      <w:lang w:val="en-US"/>
                    </w:rPr>
                    <w:t>设备为平面口罩全自动口罩机、灭菌柜等</w:t>
                  </w:r>
                </w:p>
              </w:tc>
              <w:tc>
                <w:tcPr>
                  <w:tcW w:w="826" w:type="dxa"/>
                  <w:vMerge w:val="restart"/>
                  <w:vAlign w:val="center"/>
                </w:tcPr>
                <w:p>
                  <w:pPr>
                    <w:jc w:val="center"/>
                    <w:rPr>
                      <w:color w:val="000000"/>
                      <w:szCs w:val="21"/>
                    </w:rPr>
                  </w:pPr>
                  <w:r>
                    <w:rPr>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88" w:type="dxa"/>
                  <w:vMerge w:val="continue"/>
                  <w:tcBorders>
                    <w:bottom w:val="single" w:color="auto" w:sz="8" w:space="0"/>
                  </w:tcBorders>
                  <w:vAlign w:val="center"/>
                </w:tcPr>
                <w:p>
                  <w:pPr>
                    <w:jc w:val="center"/>
                    <w:rPr>
                      <w:color w:val="000000"/>
                      <w:szCs w:val="21"/>
                      <w:highlight w:val="yellow"/>
                    </w:rPr>
                  </w:pPr>
                </w:p>
              </w:tc>
              <w:tc>
                <w:tcPr>
                  <w:tcW w:w="992" w:type="dxa"/>
                  <w:tcBorders>
                    <w:bottom w:val="single" w:color="auto" w:sz="8" w:space="0"/>
                  </w:tcBorders>
                  <w:vAlign w:val="center"/>
                </w:tcPr>
                <w:p>
                  <w:pPr>
                    <w:jc w:val="center"/>
                    <w:rPr>
                      <w:color w:val="000000"/>
                      <w:szCs w:val="21"/>
                    </w:rPr>
                  </w:pPr>
                  <w:r>
                    <w:rPr>
                      <w:color w:val="000000"/>
                      <w:szCs w:val="21"/>
                    </w:rPr>
                    <w:t>落后产品</w:t>
                  </w:r>
                </w:p>
              </w:tc>
              <w:tc>
                <w:tcPr>
                  <w:tcW w:w="851" w:type="dxa"/>
                  <w:tcBorders>
                    <w:bottom w:val="single" w:color="auto" w:sz="8" w:space="0"/>
                  </w:tcBorders>
                  <w:vAlign w:val="center"/>
                </w:tcPr>
                <w:p>
                  <w:pPr>
                    <w:jc w:val="center"/>
                    <w:rPr>
                      <w:color w:val="000000"/>
                      <w:szCs w:val="21"/>
                    </w:rPr>
                  </w:pPr>
                  <w:r>
                    <w:rPr>
                      <w:rFonts w:hint="eastAsia"/>
                      <w:color w:val="000000"/>
                      <w:szCs w:val="21"/>
                    </w:rPr>
                    <w:t>六、医药</w:t>
                  </w:r>
                </w:p>
              </w:tc>
              <w:tc>
                <w:tcPr>
                  <w:tcW w:w="1984" w:type="dxa"/>
                  <w:tcBorders>
                    <w:bottom w:val="single" w:color="auto" w:sz="8" w:space="0"/>
                  </w:tcBorders>
                  <w:vAlign w:val="center"/>
                </w:tcPr>
                <w:p>
                  <w:pPr>
                    <w:jc w:val="center"/>
                    <w:rPr>
                      <w:color w:val="000000"/>
                      <w:szCs w:val="21"/>
                    </w:rPr>
                  </w:pPr>
                  <w:r>
                    <w:rPr>
                      <w:rFonts w:hint="eastAsia"/>
                      <w:color w:val="000000"/>
                      <w:szCs w:val="21"/>
                    </w:rPr>
                    <w:t>查阅无相关对应条款</w:t>
                  </w:r>
                </w:p>
              </w:tc>
              <w:tc>
                <w:tcPr>
                  <w:tcW w:w="2268" w:type="dxa"/>
                  <w:tcBorders>
                    <w:bottom w:val="single" w:color="auto" w:sz="8" w:space="0"/>
                  </w:tcBorders>
                  <w:vAlign w:val="center"/>
                </w:tcPr>
                <w:p>
                  <w:pPr>
                    <w:jc w:val="center"/>
                    <w:rPr>
                      <w:color w:val="000000"/>
                      <w:szCs w:val="21"/>
                      <w:highlight w:val="yellow"/>
                    </w:rPr>
                  </w:pPr>
                  <w:r>
                    <w:rPr>
                      <w:color w:val="000000"/>
                      <w:szCs w:val="21"/>
                    </w:rPr>
                    <w:t>本项目产品为</w:t>
                  </w:r>
                  <w:r>
                    <w:rPr>
                      <w:rFonts w:hint="eastAsia"/>
                      <w:color w:val="000000"/>
                      <w:szCs w:val="21"/>
                    </w:rPr>
                    <w:t>口罩</w:t>
                  </w:r>
                </w:p>
              </w:tc>
              <w:tc>
                <w:tcPr>
                  <w:tcW w:w="826" w:type="dxa"/>
                  <w:vMerge w:val="continue"/>
                  <w:tcBorders>
                    <w:bottom w:val="single" w:color="auto" w:sz="8" w:space="0"/>
                  </w:tcBorders>
                  <w:vAlign w:val="center"/>
                </w:tcPr>
                <w:p>
                  <w:pPr>
                    <w:jc w:val="center"/>
                    <w:rPr>
                      <w:color w:val="000000"/>
                      <w:szCs w:val="21"/>
                      <w:highlight w:val="yellow"/>
                    </w:rPr>
                  </w:pPr>
                </w:p>
              </w:tc>
            </w:tr>
          </w:tbl>
          <w:p>
            <w:pPr>
              <w:adjustRightInd w:val="0"/>
              <w:snapToGrid w:val="0"/>
              <w:spacing w:line="460" w:lineRule="exact"/>
              <w:ind w:firstLine="482" w:firstLineChars="200"/>
              <w:rPr>
                <w:b/>
                <w:color w:val="000000"/>
                <w:sz w:val="24"/>
              </w:rPr>
            </w:pPr>
            <w:r>
              <w:rPr>
                <w:b/>
                <w:color w:val="000000"/>
                <w:sz w:val="24"/>
              </w:rPr>
              <w:t>3、与当地建设相符性分析</w:t>
            </w:r>
          </w:p>
          <w:p>
            <w:pPr>
              <w:adjustRightInd w:val="0"/>
              <w:snapToGrid w:val="0"/>
              <w:spacing w:line="460" w:lineRule="exact"/>
              <w:ind w:firstLine="480" w:firstLineChars="200"/>
              <w:rPr>
                <w:color w:val="000000"/>
                <w:sz w:val="24"/>
                <w:highlight w:val="yellow"/>
              </w:rPr>
            </w:pPr>
            <w:r>
              <w:rPr>
                <w:rFonts w:hint="eastAsia"/>
                <w:color w:val="000000"/>
                <w:sz w:val="24"/>
              </w:rPr>
              <w:t>（1）</w:t>
            </w:r>
            <w:r>
              <w:rPr>
                <w:color w:val="000000"/>
                <w:sz w:val="24"/>
              </w:rPr>
              <w:t>本项目位于</w:t>
            </w:r>
            <w:r>
              <w:rPr>
                <w:rFonts w:hint="eastAsia"/>
                <w:color w:val="000000"/>
                <w:sz w:val="24"/>
              </w:rPr>
              <w:t>新乡市获嘉县亢村镇产业新城纬八路2</w:t>
            </w:r>
            <w:r>
              <w:rPr>
                <w:color w:val="000000"/>
                <w:sz w:val="24"/>
              </w:rPr>
              <w:t>号，根据</w:t>
            </w:r>
            <w:r>
              <w:rPr>
                <w:rFonts w:hint="eastAsia"/>
                <w:color w:val="000000"/>
                <w:sz w:val="24"/>
              </w:rPr>
              <w:t>《获嘉县产业集聚区总体发展规划（2016-2020）》中获嘉县产业集聚区（南区）规划用地布局图</w:t>
            </w:r>
            <w:r>
              <w:rPr>
                <w:color w:val="000000"/>
                <w:sz w:val="24"/>
              </w:rPr>
              <w:t>，项目所占用地为</w:t>
            </w:r>
            <w:r>
              <w:rPr>
                <w:rFonts w:hint="eastAsia"/>
                <w:color w:val="000000"/>
                <w:sz w:val="24"/>
              </w:rPr>
              <w:t>二类工业用地（详见附图二）</w:t>
            </w:r>
            <w:r>
              <w:rPr>
                <w:color w:val="000000"/>
                <w:sz w:val="24"/>
              </w:rPr>
              <w:t>，符合</w:t>
            </w:r>
            <w:r>
              <w:rPr>
                <w:rFonts w:hint="eastAsia"/>
                <w:color w:val="000000"/>
                <w:sz w:val="24"/>
              </w:rPr>
              <w:t>获嘉县产业集聚区</w:t>
            </w:r>
            <w:r>
              <w:rPr>
                <w:color w:val="000000"/>
                <w:sz w:val="24"/>
              </w:rPr>
              <w:t>用地规划要求。</w:t>
            </w:r>
          </w:p>
          <w:p>
            <w:pPr>
              <w:autoSpaceDE w:val="0"/>
              <w:autoSpaceDN w:val="0"/>
              <w:adjustRightInd w:val="0"/>
              <w:snapToGrid w:val="0"/>
              <w:spacing w:line="460" w:lineRule="exact"/>
              <w:ind w:firstLine="480" w:firstLineChars="200"/>
              <w:rPr>
                <w:color w:val="000000"/>
                <w:sz w:val="24"/>
              </w:rPr>
            </w:pPr>
            <w:r>
              <w:rPr>
                <w:kern w:val="0"/>
                <w:sz w:val="24"/>
              </w:rPr>
              <w:t>（2）</w:t>
            </w:r>
            <w:r>
              <w:rPr>
                <w:rFonts w:hint="eastAsia"/>
                <w:kern w:val="0"/>
                <w:sz w:val="24"/>
              </w:rPr>
              <w:t>项目</w:t>
            </w:r>
            <w:r>
              <w:rPr>
                <w:kern w:val="0"/>
                <w:sz w:val="24"/>
              </w:rPr>
              <w:t>选址距离最近的饮用水源地为</w:t>
            </w:r>
            <w:r>
              <w:rPr>
                <w:rFonts w:hint="eastAsia"/>
                <w:kern w:val="0"/>
                <w:sz w:val="24"/>
              </w:rPr>
              <w:t>获嘉县亢村水厂地下水井群（共3眼井）</w:t>
            </w:r>
            <w:r>
              <w:rPr>
                <w:kern w:val="0"/>
                <w:sz w:val="24"/>
              </w:rPr>
              <w:t>，距离约3710m，不在其保护区范围内</w:t>
            </w:r>
            <w:r>
              <w:rPr>
                <w:color w:val="000000"/>
                <w:sz w:val="24"/>
              </w:rPr>
              <w:t>。</w:t>
            </w:r>
          </w:p>
          <w:p>
            <w:pPr>
              <w:autoSpaceDE w:val="0"/>
              <w:autoSpaceDN w:val="0"/>
              <w:adjustRightInd w:val="0"/>
              <w:snapToGrid w:val="0"/>
              <w:spacing w:line="460" w:lineRule="exact"/>
              <w:ind w:firstLine="482" w:firstLineChars="200"/>
              <w:rPr>
                <w:b/>
                <w:color w:val="000000"/>
                <w:sz w:val="24"/>
              </w:rPr>
            </w:pPr>
            <w:r>
              <w:rPr>
                <w:b/>
                <w:color w:val="000000"/>
                <w:sz w:val="24"/>
              </w:rPr>
              <w:t>4、</w:t>
            </w:r>
            <w:r>
              <w:rPr>
                <w:rFonts w:hint="eastAsia"/>
                <w:b/>
                <w:color w:val="000000"/>
                <w:sz w:val="24"/>
              </w:rPr>
              <w:t>与</w:t>
            </w:r>
            <w:r>
              <w:rPr>
                <w:b/>
                <w:color w:val="000000"/>
                <w:sz w:val="24"/>
              </w:rPr>
              <w:t>《新乡市</w:t>
            </w:r>
            <w:r>
              <w:rPr>
                <w:rFonts w:hint="eastAsia"/>
                <w:b/>
                <w:color w:val="000000"/>
                <w:sz w:val="24"/>
              </w:rPr>
              <w:t>“三线一单”生态</w:t>
            </w:r>
            <w:r>
              <w:rPr>
                <w:b/>
                <w:color w:val="000000"/>
                <w:sz w:val="24"/>
              </w:rPr>
              <w:t>环境准入清单》相符性分析</w:t>
            </w:r>
          </w:p>
          <w:p>
            <w:pPr>
              <w:autoSpaceDE w:val="0"/>
              <w:autoSpaceDN w:val="0"/>
              <w:adjustRightInd w:val="0"/>
              <w:snapToGrid w:val="0"/>
              <w:spacing w:line="460" w:lineRule="exact"/>
              <w:ind w:firstLine="480" w:firstLineChars="200"/>
              <w:rPr>
                <w:color w:val="000000"/>
                <w:sz w:val="24"/>
              </w:rPr>
            </w:pPr>
            <w:r>
              <w:rPr>
                <w:rFonts w:hint="eastAsia"/>
                <w:color w:val="000000"/>
                <w:sz w:val="24"/>
              </w:rPr>
              <w:t>（1）生态保护红线相符性</w:t>
            </w:r>
          </w:p>
          <w:p>
            <w:pPr>
              <w:autoSpaceDE w:val="0"/>
              <w:autoSpaceDN w:val="0"/>
              <w:adjustRightInd w:val="0"/>
              <w:snapToGrid w:val="0"/>
              <w:spacing w:line="460" w:lineRule="exact"/>
              <w:ind w:firstLine="480" w:firstLineChars="200"/>
              <w:rPr>
                <w:b/>
                <w:color w:val="000000"/>
                <w:sz w:val="24"/>
              </w:rPr>
            </w:pPr>
            <w:r>
              <w:rPr>
                <w:color w:val="000000"/>
                <w:sz w:val="24"/>
              </w:rPr>
              <w:t>本项目位于</w:t>
            </w:r>
            <w:r>
              <w:rPr>
                <w:rFonts w:hint="eastAsia"/>
                <w:color w:val="000000"/>
                <w:sz w:val="24"/>
              </w:rPr>
              <w:t>新乡市获嘉县亢村镇产业新城纬八路2</w:t>
            </w:r>
            <w:r>
              <w:rPr>
                <w:color w:val="000000"/>
                <w:sz w:val="24"/>
              </w:rPr>
              <w:t>号，</w:t>
            </w:r>
            <w:r>
              <w:rPr>
                <w:rFonts w:hint="eastAsia"/>
                <w:color w:val="000000"/>
                <w:sz w:val="24"/>
              </w:rPr>
              <w:t>不在当地饮用水源、风景区、自然保护区等生态保护区内，根据</w:t>
            </w:r>
            <w:r>
              <w:rPr>
                <w:rFonts w:hint="eastAsia"/>
                <w:sz w:val="24"/>
              </w:rPr>
              <w:t>新乡市生态保护红线划定结果，</w:t>
            </w:r>
            <w:r>
              <w:rPr>
                <w:rFonts w:hint="eastAsia"/>
                <w:color w:val="000000"/>
                <w:sz w:val="24"/>
              </w:rPr>
              <w:t>本项目选址范围不涉及生态保护红线，本项目的实施与生态保护红线不冲突。</w:t>
            </w:r>
          </w:p>
          <w:p>
            <w:pPr>
              <w:autoSpaceDE w:val="0"/>
              <w:autoSpaceDN w:val="0"/>
              <w:adjustRightInd w:val="0"/>
              <w:snapToGrid w:val="0"/>
              <w:spacing w:line="460" w:lineRule="exact"/>
              <w:ind w:firstLine="480" w:firstLineChars="200"/>
              <w:rPr>
                <w:color w:val="000000"/>
                <w:sz w:val="24"/>
              </w:rPr>
            </w:pPr>
            <w:r>
              <w:rPr>
                <w:rFonts w:hint="eastAsia"/>
                <w:color w:val="000000"/>
                <w:sz w:val="24"/>
              </w:rPr>
              <w:t>（</w:t>
            </w:r>
            <w:r>
              <w:rPr>
                <w:color w:val="000000"/>
                <w:sz w:val="24"/>
              </w:rPr>
              <w:t>2</w:t>
            </w:r>
            <w:r>
              <w:rPr>
                <w:rFonts w:hint="eastAsia"/>
                <w:color w:val="000000"/>
                <w:sz w:val="24"/>
              </w:rPr>
              <w:t>）资源利用上线相符性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rPr>
              <w:t>本项目用水及用电由集聚区统一供给。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pPr>
              <w:autoSpaceDE w:val="0"/>
              <w:autoSpaceDN w:val="0"/>
              <w:adjustRightInd w:val="0"/>
              <w:snapToGrid w:val="0"/>
              <w:spacing w:line="460" w:lineRule="exact"/>
              <w:ind w:firstLine="480" w:firstLineChars="200"/>
              <w:rPr>
                <w:color w:val="000000"/>
                <w:sz w:val="24"/>
              </w:rPr>
            </w:pPr>
            <w:r>
              <w:rPr>
                <w:color w:val="000000"/>
                <w:sz w:val="24"/>
              </w:rPr>
              <w:t>（3）</w:t>
            </w:r>
            <w:r>
              <w:rPr>
                <w:rFonts w:hint="eastAsia"/>
                <w:color w:val="000000"/>
                <w:sz w:val="24"/>
              </w:rPr>
              <w:t>环境质量底线相符性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rPr>
              <w:t>本项目废气、废水、噪声排放对周边环境影响较小，不会导致区域环境产生明显变化。项目对周边大气环境、地表水环境、地下水环境、声环境、土壤环境影响均可接受。</w:t>
            </w:r>
          </w:p>
          <w:p>
            <w:pPr>
              <w:autoSpaceDE w:val="0"/>
              <w:autoSpaceDN w:val="0"/>
              <w:adjustRightInd w:val="0"/>
              <w:snapToGrid w:val="0"/>
              <w:spacing w:line="460" w:lineRule="exact"/>
              <w:ind w:firstLine="480" w:firstLineChars="200"/>
              <w:rPr>
                <w:color w:val="000000"/>
                <w:sz w:val="24"/>
              </w:rPr>
            </w:pPr>
            <w:r>
              <w:rPr>
                <w:rFonts w:hint="eastAsia"/>
                <w:color w:val="000000"/>
                <w:sz w:val="24"/>
              </w:rPr>
              <w:t>（4）本项目选址位于新乡市获嘉县亢村镇产业新城纬八路2</w:t>
            </w:r>
            <w:r>
              <w:rPr>
                <w:color w:val="000000"/>
                <w:sz w:val="24"/>
              </w:rPr>
              <w:t>号</w:t>
            </w:r>
            <w:r>
              <w:rPr>
                <w:rFonts w:hint="eastAsia"/>
                <w:color w:val="000000"/>
                <w:sz w:val="24"/>
              </w:rPr>
              <w:t>，根据《新乡市环境管控单元图》，本项目位于重点管控区，详</w:t>
            </w:r>
            <w:r>
              <w:rPr>
                <w:color w:val="000000"/>
                <w:sz w:val="24"/>
              </w:rPr>
              <w:t>见下图</w:t>
            </w:r>
            <w:r>
              <w:rPr>
                <w:rFonts w:hint="eastAsia"/>
                <w:color w:val="000000"/>
                <w:sz w:val="24"/>
              </w:rPr>
              <w:t>：</w:t>
            </w:r>
          </w:p>
          <w:p>
            <w:pPr>
              <w:autoSpaceDE w:val="0"/>
              <w:autoSpaceDN w:val="0"/>
              <w:adjustRightInd w:val="0"/>
              <w:snapToGrid w:val="0"/>
              <w:jc w:val="center"/>
              <w:rPr>
                <w:color w:val="000000"/>
                <w:sz w:val="24"/>
              </w:rPr>
            </w:pPr>
            <w:r>
              <w:rPr>
                <w:rFonts w:eastAsia="黑体"/>
                <w:color w:val="000000"/>
                <w:sz w:val="24"/>
                <w:szCs w:val="20"/>
              </w:rPr>
              <mc:AlternateContent>
                <mc:Choice Requires="wps">
                  <w:drawing>
                    <wp:anchor distT="0" distB="0" distL="114300" distR="114300" simplePos="0" relativeHeight="251683840" behindDoc="0" locked="0" layoutInCell="1" allowOverlap="1">
                      <wp:simplePos x="0" y="0"/>
                      <wp:positionH relativeFrom="column">
                        <wp:posOffset>1232535</wp:posOffset>
                      </wp:positionH>
                      <wp:positionV relativeFrom="paragraph">
                        <wp:posOffset>1664335</wp:posOffset>
                      </wp:positionV>
                      <wp:extent cx="727710" cy="271145"/>
                      <wp:effectExtent l="183515" t="7620" r="12700" b="73660"/>
                      <wp:wrapNone/>
                      <wp:docPr id="5" name="AutoShape 4"/>
                      <wp:cNvGraphicFramePr/>
                      <a:graphic xmlns:a="http://schemas.openxmlformats.org/drawingml/2006/main">
                        <a:graphicData uri="http://schemas.microsoft.com/office/word/2010/wordprocessingShape">
                          <wps:wsp>
                            <wps:cNvSpPr>
                              <a:spLocks noChangeArrowheads="1"/>
                            </wps:cNvSpPr>
                            <wps:spPr bwMode="auto">
                              <a:xfrm>
                                <a:off x="0" y="0"/>
                                <a:ext cx="727710" cy="271145"/>
                              </a:xfrm>
                              <a:prstGeom prst="wedgeRoundRectCallout">
                                <a:avLst>
                                  <a:gd name="adj1" fmla="val -70417"/>
                                  <a:gd name="adj2" fmla="val 64986"/>
                                  <a:gd name="adj3" fmla="val 16667"/>
                                </a:avLst>
                              </a:prstGeom>
                              <a:solidFill>
                                <a:srgbClr val="FFFFFF"/>
                              </a:solidFill>
                              <a:ln w="9525">
                                <a:solidFill>
                                  <a:srgbClr val="000000"/>
                                </a:solidFill>
                                <a:miter lim="800000"/>
                              </a:ln>
                            </wps:spPr>
                            <wps:txbx>
                              <w:txbxContent>
                                <w:p>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AutoShape 4" o:spid="_x0000_s1026" o:spt="62" type="#_x0000_t62" style="position:absolute;left:0pt;margin-left:97.05pt;margin-top:131.05pt;height:21.35pt;width:57.3pt;z-index:251683840;mso-width-relative:page;mso-height-relative:page;" fillcolor="#FFFFFF" filled="t" stroked="t" coordsize="21600,21600" o:gfxdata="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eR6bLYAAAACwEAAA8AAAAAAAAAAQAgAAAAIgAAAGRycy9kb3ducmV2LnhtbFBLAQIUABQA&#10;AAAIAIdO4kD7s1sHYgIAAAMFAAAOAAAAAAAAAAEAIAAAACcBAABkcnMvZTJvRG9jLnhtbFBLBQYA&#10;AAAABgAGAFkBAAD7BQAAAAA=&#10;" adj="-4410,24837,14400">
                      <v:fill on="t" focussize="0,0"/>
                      <v:stroke color="#000000" miterlimit="8" joinstyle="miter"/>
                      <v:imagedata o:title=""/>
                      <o:lock v:ext="edit" aspectratio="f"/>
                      <v:textbox>
                        <w:txbxContent>
                          <w:p>
                            <w:r>
                              <w:rPr>
                                <w:rFonts w:hint="eastAsia"/>
                              </w:rPr>
                              <w:t>本项目</w:t>
                            </w:r>
                          </w:p>
                        </w:txbxContent>
                      </v:textbox>
                    </v:shape>
                  </w:pict>
                </mc:Fallback>
              </mc:AlternateContent>
            </w:r>
            <w:r>
              <w:rPr>
                <w:rFonts w:eastAsia="黑体"/>
                <w:color w:val="000000"/>
                <w:sz w:val="24"/>
                <w:szCs w:val="20"/>
              </w:rPr>
              <w:drawing>
                <wp:inline distT="0" distB="0" distL="0" distR="0">
                  <wp:extent cx="4629150" cy="3028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email"/>
                          <a:srcRect/>
                          <a:stretch>
                            <a:fillRect/>
                          </a:stretch>
                        </pic:blipFill>
                        <pic:spPr>
                          <a:xfrm>
                            <a:off x="0" y="0"/>
                            <a:ext cx="4629150" cy="3028950"/>
                          </a:xfrm>
                          <a:prstGeom prst="rect">
                            <a:avLst/>
                          </a:prstGeom>
                          <a:noFill/>
                          <a:ln>
                            <a:noFill/>
                          </a:ln>
                        </pic:spPr>
                      </pic:pic>
                    </a:graphicData>
                  </a:graphic>
                </wp:inline>
              </w:drawing>
            </w:r>
          </w:p>
          <w:p>
            <w:pPr>
              <w:snapToGrid w:val="0"/>
              <w:jc w:val="center"/>
              <w:rPr>
                <w:rFonts w:eastAsia="黑体"/>
                <w:color w:val="000000"/>
                <w:sz w:val="24"/>
              </w:rPr>
            </w:pPr>
            <w:r>
              <w:rPr>
                <w:rFonts w:eastAsia="黑体"/>
                <w:color w:val="000000"/>
                <w:sz w:val="24"/>
              </w:rPr>
              <w:t>图1  新乡市环境管控单元图</w:t>
            </w:r>
          </w:p>
          <w:p>
            <w:pPr>
              <w:autoSpaceDE w:val="0"/>
              <w:autoSpaceDN w:val="0"/>
              <w:adjustRightInd w:val="0"/>
              <w:snapToGrid w:val="0"/>
              <w:spacing w:line="460" w:lineRule="exact"/>
              <w:ind w:firstLine="480" w:firstLineChars="200"/>
              <w:rPr>
                <w:color w:val="000000"/>
                <w:sz w:val="24"/>
              </w:rPr>
            </w:pPr>
            <w:r>
              <w:rPr>
                <w:kern w:val="0"/>
                <w:sz w:val="24"/>
              </w:rPr>
              <w:t>本项目</w:t>
            </w:r>
            <w:r>
              <w:rPr>
                <w:rFonts w:hint="eastAsia"/>
                <w:kern w:val="0"/>
                <w:sz w:val="24"/>
              </w:rPr>
              <w:t>厂址</w:t>
            </w:r>
            <w:r>
              <w:rPr>
                <w:kern w:val="0"/>
                <w:sz w:val="24"/>
              </w:rPr>
              <w:t>位于</w:t>
            </w:r>
            <w:r>
              <w:rPr>
                <w:rFonts w:hint="eastAsia"/>
                <w:kern w:val="0"/>
                <w:sz w:val="24"/>
              </w:rPr>
              <w:t>新乡市获嘉县亢村镇产业新城纬八路2</w:t>
            </w:r>
            <w:r>
              <w:rPr>
                <w:kern w:val="0"/>
                <w:sz w:val="24"/>
              </w:rPr>
              <w:t>号</w:t>
            </w:r>
            <w:r>
              <w:rPr>
                <w:rFonts w:hint="eastAsia"/>
                <w:kern w:val="0"/>
                <w:sz w:val="24"/>
              </w:rPr>
              <w:t>，</w:t>
            </w:r>
            <w:r>
              <w:rPr>
                <w:kern w:val="0"/>
                <w:sz w:val="24"/>
              </w:rPr>
              <w:t>根据上图，本项目</w:t>
            </w:r>
            <w:r>
              <w:rPr>
                <w:rFonts w:hint="eastAsia"/>
                <w:kern w:val="0"/>
                <w:sz w:val="24"/>
              </w:rPr>
              <w:t>厂址</w:t>
            </w:r>
            <w:r>
              <w:rPr>
                <w:kern w:val="0"/>
                <w:sz w:val="24"/>
              </w:rPr>
              <w:t>属于</w:t>
            </w:r>
            <w:r>
              <w:rPr>
                <w:rFonts w:hint="eastAsia"/>
                <w:kern w:val="0"/>
                <w:sz w:val="24"/>
              </w:rPr>
              <w:t>重点管控</w:t>
            </w:r>
            <w:r>
              <w:rPr>
                <w:kern w:val="0"/>
                <w:sz w:val="24"/>
              </w:rPr>
              <w:t>单元，与《新乡市</w:t>
            </w:r>
            <w:r>
              <w:rPr>
                <w:rFonts w:hint="eastAsia"/>
                <w:kern w:val="0"/>
                <w:sz w:val="24"/>
              </w:rPr>
              <w:t>“三线一单”生态</w:t>
            </w:r>
            <w:r>
              <w:rPr>
                <w:kern w:val="0"/>
                <w:sz w:val="24"/>
              </w:rPr>
              <w:t>环境准入清单》（以下简称《清单》）中的相关内容对比一致性分析见下表。</w:t>
            </w: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kern w:val="0"/>
                <w:sz w:val="24"/>
              </w:rPr>
            </w:pPr>
          </w:p>
        </w:tc>
      </w:tr>
    </w:tbl>
    <w:p>
      <w:pPr>
        <w:adjustRightInd w:val="0"/>
        <w:snapToGrid w:val="0"/>
        <w:rPr>
          <w:rFonts w:eastAsia="黑体"/>
          <w:sz w:val="18"/>
          <w:szCs w:val="18"/>
        </w:rPr>
        <w:sectPr>
          <w:pgSz w:w="11906" w:h="16838"/>
          <w:pgMar w:top="1701" w:right="1531" w:bottom="1701" w:left="1531" w:header="851" w:footer="1077" w:gutter="0"/>
          <w:pgNumType w:start="1"/>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6" w:hRule="atLeast"/>
        </w:trPr>
        <w:tc>
          <w:tcPr>
            <w:tcW w:w="13652" w:type="dxa"/>
            <w:shd w:val="clear" w:color="auto" w:fill="auto"/>
          </w:tcPr>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表5                                    本项目与《清单》对比分析一览表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7"/>
              <w:gridCol w:w="709"/>
              <w:gridCol w:w="567"/>
              <w:gridCol w:w="709"/>
              <w:gridCol w:w="6373"/>
              <w:gridCol w:w="3975"/>
              <w:gridCol w:w="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行政区划</w:t>
                  </w:r>
                </w:p>
              </w:tc>
              <w:tc>
                <w:tcPr>
                  <w:tcW w:w="709" w:type="dxa"/>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环境管控单元名称</w:t>
                  </w:r>
                </w:p>
              </w:tc>
              <w:tc>
                <w:tcPr>
                  <w:tcW w:w="567" w:type="dxa"/>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管控单元分类</w:t>
                  </w:r>
                </w:p>
              </w:tc>
              <w:tc>
                <w:tcPr>
                  <w:tcW w:w="7082" w:type="dxa"/>
                  <w:gridSpan w:val="2"/>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管控要求</w:t>
                  </w:r>
                </w:p>
              </w:tc>
              <w:tc>
                <w:tcPr>
                  <w:tcW w:w="3975" w:type="dxa"/>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本项目情况</w:t>
                  </w:r>
                </w:p>
              </w:tc>
              <w:tc>
                <w:tcPr>
                  <w:tcW w:w="536" w:type="dxa"/>
                  <w:vAlign w:val="center"/>
                </w:tcPr>
                <w:p>
                  <w:pPr>
                    <w:pStyle w:val="1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bCs/>
                      <w:sz w:val="21"/>
                      <w:szCs w:val="21"/>
                    </w:rPr>
                    <w:t>空间布局约束</w:t>
                  </w:r>
                </w:p>
              </w:tc>
              <w:tc>
                <w:tcPr>
                  <w:tcW w:w="7082" w:type="dxa"/>
                  <w:gridSpan w:val="2"/>
                  <w:vAlign w:val="center"/>
                </w:tcPr>
                <w:p>
                  <w:pPr>
                    <w:pStyle w:val="14"/>
                    <w:spacing w:before="0" w:beforeAutospacing="0" w:after="0" w:afterAutospacing="0"/>
                    <w:jc w:val="both"/>
                    <w:outlineLvl w:val="0"/>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禁止在自然保护区内进行砍伐、放牧、狩猎、捕捞、采药、开垦、烧荒、开矿、采石、挖沙等活动；但是，法律、行政法规另有规定的除外。</w:t>
                  </w:r>
                </w:p>
                <w:p>
                  <w:pPr>
                    <w:ind w:firstLine="420" w:firstLineChars="200"/>
                    <w:outlineLvl w:val="0"/>
                    <w:rPr>
                      <w:kern w:val="0"/>
                      <w:szCs w:val="21"/>
                      <w:lang w:val="zh-CN"/>
                    </w:rPr>
                  </w:pPr>
                  <w:r>
                    <w:rPr>
                      <w:rFonts w:hint="eastAsia"/>
                      <w:kern w:val="0"/>
                      <w:szCs w:val="21"/>
                      <w:lang w:val="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ind w:firstLine="420" w:firstLineChars="200"/>
                    <w:outlineLvl w:val="0"/>
                    <w:rPr>
                      <w:kern w:val="0"/>
                      <w:szCs w:val="21"/>
                      <w:lang w:val="zh-CN"/>
                    </w:rPr>
                  </w:pPr>
                  <w:r>
                    <w:rPr>
                      <w:rFonts w:hint="eastAsia"/>
                      <w:kern w:val="0"/>
                      <w:szCs w:val="21"/>
                      <w:lang w:val="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pStyle w:val="14"/>
                    <w:spacing w:before="0" w:beforeAutospacing="0" w:after="0" w:afterAutospacing="0"/>
                    <w:ind w:firstLine="420" w:firstLineChars="20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本项目位于新乡市获嘉县亢村镇产业新城纬八路2</w:t>
                  </w:r>
                  <w:r>
                    <w:rPr>
                      <w:rFonts w:ascii="Times New Roman" w:hAnsi="Times New Roman"/>
                      <w:snapToGrid w:val="0"/>
                      <w:color w:val="000000"/>
                      <w:sz w:val="21"/>
                      <w:szCs w:val="21"/>
                      <w:lang w:val="en-US"/>
                    </w:rPr>
                    <w:t>号</w:t>
                  </w:r>
                  <w:r>
                    <w:rPr>
                      <w:rFonts w:hint="eastAsia" w:ascii="Times New Roman" w:hAnsi="Times New Roman"/>
                      <w:snapToGrid w:val="0"/>
                      <w:color w:val="000000"/>
                      <w:sz w:val="21"/>
                      <w:szCs w:val="21"/>
                      <w:lang w:val="en-US"/>
                    </w:rPr>
                    <w:t>，厂址所在地不属于自然保护区。</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82" w:type="dxa"/>
                  <w:gridSpan w:val="2"/>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hint="eastAsia" w:ascii="Times New Roman" w:hAnsi="Times New Roman"/>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ascii="Times New Roman" w:hAnsi="Times New Roman"/>
                      <w:sz w:val="21"/>
                      <w:szCs w:val="21"/>
                    </w:rPr>
                    <w:t>VOCs</w:t>
                  </w:r>
                  <w:r>
                    <w:rPr>
                      <w:rFonts w:hint="eastAsia" w:ascii="Times New Roman" w:hAnsi="Times New Roman"/>
                      <w:sz w:val="21"/>
                      <w:szCs w:val="21"/>
                    </w:rPr>
                    <w:t>的项目，应从源头加强控制，使用低（无）</w:t>
                  </w:r>
                  <w:r>
                    <w:rPr>
                      <w:rFonts w:ascii="Times New Roman" w:hAnsi="Times New Roman"/>
                      <w:sz w:val="21"/>
                      <w:szCs w:val="21"/>
                    </w:rPr>
                    <w:t>VOCs</w:t>
                  </w:r>
                  <w:r>
                    <w:rPr>
                      <w:rFonts w:hint="eastAsia" w:ascii="Times New Roman" w:hAnsi="Times New Roman"/>
                      <w:sz w:val="21"/>
                      <w:szCs w:val="21"/>
                    </w:rPr>
                    <w:t>含量的原辅材料，配套安装高效收集、治理设施，其中新建涉</w:t>
                  </w:r>
                  <w:r>
                    <w:rPr>
                      <w:rFonts w:ascii="Times New Roman" w:hAnsi="Times New Roman"/>
                      <w:sz w:val="21"/>
                      <w:szCs w:val="21"/>
                    </w:rPr>
                    <w:t>VOCs</w:t>
                  </w:r>
                  <w:r>
                    <w:rPr>
                      <w:rFonts w:hint="eastAsia" w:ascii="Times New Roman" w:hAnsi="Times New Roman"/>
                      <w:sz w:val="21"/>
                      <w:szCs w:val="21"/>
                    </w:rPr>
                    <w:t>排放的工业企业要入园区，实行区域内</w:t>
                  </w:r>
                  <w:r>
                    <w:rPr>
                      <w:rFonts w:ascii="Times New Roman" w:hAnsi="Times New Roman"/>
                      <w:sz w:val="21"/>
                      <w:szCs w:val="21"/>
                    </w:rPr>
                    <w:t>VOCs</w:t>
                  </w:r>
                  <w:r>
                    <w:rPr>
                      <w:rFonts w:hint="eastAsia" w:ascii="Times New Roman" w:hAnsi="Times New Roman"/>
                      <w:sz w:val="21"/>
                      <w:szCs w:val="21"/>
                    </w:rPr>
                    <w:t>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本项目为扩建项目，</w:t>
                  </w:r>
                  <w:r>
                    <w:rPr>
                      <w:rFonts w:hint="eastAsia" w:ascii="Times New Roman" w:hAnsi="Times New Roman"/>
                      <w:snapToGrid w:val="0"/>
                      <w:color w:val="000000"/>
                      <w:sz w:val="21"/>
                      <w:szCs w:val="21"/>
                      <w:lang w:val="en-US"/>
                    </w:rPr>
                    <w:t>为医用口罩生产，</w:t>
                  </w:r>
                  <w:r>
                    <w:rPr>
                      <w:rFonts w:ascii="Times New Roman" w:hAnsi="Times New Roman"/>
                      <w:snapToGrid w:val="0"/>
                      <w:color w:val="000000"/>
                      <w:sz w:val="21"/>
                      <w:szCs w:val="21"/>
                      <w:lang w:val="en-US"/>
                    </w:rPr>
                    <w:t>属于</w:t>
                  </w:r>
                  <w:r>
                    <w:rPr>
                      <w:rFonts w:hint="eastAsia" w:ascii="Times New Roman" w:hAnsi="Times New Roman"/>
                      <w:snapToGrid w:val="0"/>
                      <w:color w:val="000000"/>
                      <w:sz w:val="21"/>
                      <w:szCs w:val="21"/>
                      <w:lang w:val="en-US"/>
                    </w:rPr>
                    <w:t>卫生材料及医药用品制造项目</w:t>
                  </w:r>
                  <w:r>
                    <w:rPr>
                      <w:rFonts w:ascii="Times New Roman" w:hAnsi="Times New Roman"/>
                      <w:snapToGrid w:val="0"/>
                      <w:color w:val="000000"/>
                      <w:sz w:val="21"/>
                      <w:szCs w:val="21"/>
                      <w:lang w:val="en-US"/>
                    </w:rPr>
                    <w:t>，</w:t>
                  </w:r>
                  <w:r>
                    <w:rPr>
                      <w:rFonts w:hint="eastAsia" w:ascii="Times New Roman" w:hAnsi="Times New Roman"/>
                      <w:sz w:val="21"/>
                      <w:szCs w:val="21"/>
                    </w:rPr>
                    <w:t>废气污染物为</w:t>
                  </w:r>
                  <w:r>
                    <w:rPr>
                      <w:rFonts w:ascii="Times New Roman" w:hAnsi="Times New Roman"/>
                      <w:sz w:val="21"/>
                      <w:szCs w:val="21"/>
                    </w:rPr>
                    <w:t>VOCs</w:t>
                  </w:r>
                  <w:r>
                    <w:rPr>
                      <w:rFonts w:hint="eastAsia" w:ascii="Times New Roman" w:hAnsi="Times New Roman"/>
                      <w:sz w:val="21"/>
                      <w:szCs w:val="21"/>
                    </w:rPr>
                    <w:t>，采用密闭管道收集，引至</w:t>
                  </w:r>
                  <w:r>
                    <w:rPr>
                      <w:rFonts w:hint="eastAsia" w:ascii="Times New Roman" w:hAnsi="Times New Roman"/>
                      <w:sz w:val="21"/>
                      <w:szCs w:val="21"/>
                      <w:lang w:val="en-US"/>
                    </w:rPr>
                    <w:t>水喷淋装置处理，尾气经1根1</w:t>
                  </w:r>
                  <w:r>
                    <w:rPr>
                      <w:rFonts w:ascii="Times New Roman" w:hAnsi="Times New Roman"/>
                      <w:sz w:val="21"/>
                      <w:szCs w:val="21"/>
                      <w:lang w:val="en-US"/>
                    </w:rPr>
                    <w:t>5m</w:t>
                  </w:r>
                  <w:r>
                    <w:rPr>
                      <w:rFonts w:hint="eastAsia" w:ascii="Times New Roman" w:hAnsi="Times New Roman"/>
                      <w:sz w:val="21"/>
                      <w:szCs w:val="21"/>
                      <w:lang w:val="en-US"/>
                    </w:rPr>
                    <w:t>高排气筒P</w:t>
                  </w:r>
                  <w:r>
                    <w:rPr>
                      <w:rFonts w:ascii="Times New Roman" w:hAnsi="Times New Roman"/>
                      <w:sz w:val="21"/>
                      <w:szCs w:val="21"/>
                      <w:lang w:val="en-US"/>
                    </w:rPr>
                    <w:t>2</w:t>
                  </w:r>
                  <w:r>
                    <w:rPr>
                      <w:rFonts w:hint="eastAsia" w:ascii="Times New Roman" w:hAnsi="Times New Roman"/>
                      <w:sz w:val="21"/>
                      <w:szCs w:val="21"/>
                      <w:lang w:val="en-US"/>
                    </w:rPr>
                    <w:t>排放</w:t>
                  </w:r>
                  <w:r>
                    <w:rPr>
                      <w:rFonts w:hint="eastAsia" w:ascii="Times New Roman" w:hAnsi="Times New Roman"/>
                      <w:sz w:val="21"/>
                      <w:szCs w:val="21"/>
                    </w:rPr>
                    <w:t>。</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highlight w:val="yellow"/>
                      <w:lang w:val="en-US"/>
                    </w:rPr>
                  </w:pPr>
                </w:p>
              </w:tc>
              <w:tc>
                <w:tcPr>
                  <w:tcW w:w="7082" w:type="dxa"/>
                  <w:gridSpan w:val="2"/>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3.</w:t>
                  </w:r>
                  <w:r>
                    <w:rPr>
                      <w:rFonts w:hint="eastAsia" w:ascii="Times New Roman" w:hAnsi="Times New Roman"/>
                      <w:sz w:val="21"/>
                      <w:szCs w:val="21"/>
                    </w:rPr>
                    <w:t>严格控制新建、扩建钢铁冶炼、水泥、有色金属冶炼、平板玻璃、化工、建筑陶瓷、耐火材料、砖瓦、矿山开采等行业的高排放、高污染项目，促进传统煤化工、水泥行业绿色转型、智能升级。</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项目，属于医药制造业，不属于“两高”项目。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bCs/>
                      <w:sz w:val="21"/>
                      <w:szCs w:val="21"/>
                    </w:rPr>
                    <w:t>污染物排放管控</w:t>
                  </w:r>
                </w:p>
              </w:tc>
              <w:tc>
                <w:tcPr>
                  <w:tcW w:w="7082" w:type="dxa"/>
                  <w:gridSpan w:val="2"/>
                  <w:vAlign w:val="center"/>
                </w:tcPr>
                <w:p>
                  <w:pPr>
                    <w:pStyle w:val="14"/>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hint="eastAsia" w:ascii="Times New Roman" w:hAnsi="Times New Roman"/>
                      <w:sz w:val="21"/>
                      <w:szCs w:val="21"/>
                    </w:rPr>
                    <w:t>新、改、扩建项目主要污染物排放要求满足当地总量减排要求；</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本项目新增总量污染物为非甲烷总烃，将根据要求从获嘉县区域总量内进行双倍替代，区域内非甲烷总烃做到进一步削减。</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82" w:type="dxa"/>
                  <w:gridSpan w:val="2"/>
                  <w:vAlign w:val="center"/>
                </w:tcPr>
                <w:p>
                  <w:pPr>
                    <w:pStyle w:val="14"/>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hint="eastAsia" w:ascii="Times New Roman" w:hAnsi="Times New Roman"/>
                      <w:sz w:val="21"/>
                      <w:szCs w:val="21"/>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本项目为医用口罩生产，</w:t>
                  </w:r>
                  <w:r>
                    <w:rPr>
                      <w:rFonts w:ascii="Times New Roman" w:hAnsi="Times New Roman"/>
                      <w:snapToGrid w:val="0"/>
                      <w:color w:val="000000"/>
                      <w:sz w:val="21"/>
                      <w:szCs w:val="21"/>
                      <w:lang w:val="en-US"/>
                    </w:rPr>
                    <w:t>属于</w:t>
                  </w:r>
                  <w:r>
                    <w:rPr>
                      <w:rFonts w:hint="eastAsia" w:ascii="Times New Roman" w:hAnsi="Times New Roman"/>
                      <w:snapToGrid w:val="0"/>
                      <w:color w:val="000000"/>
                      <w:sz w:val="21"/>
                      <w:szCs w:val="21"/>
                      <w:lang w:val="en-US"/>
                    </w:rPr>
                    <w:t>卫生材料及医药用品制造项目</w:t>
                  </w:r>
                  <w:r>
                    <w:rPr>
                      <w:rFonts w:ascii="Times New Roman" w:hAnsi="Times New Roman"/>
                      <w:snapToGrid w:val="0"/>
                      <w:color w:val="000000"/>
                      <w:sz w:val="21"/>
                      <w:szCs w:val="21"/>
                      <w:lang w:val="en-US"/>
                    </w:rPr>
                    <w:t>，</w:t>
                  </w:r>
                  <w:r>
                    <w:rPr>
                      <w:rFonts w:hint="eastAsia" w:ascii="Times New Roman" w:hAnsi="Times New Roman"/>
                      <w:snapToGrid w:val="0"/>
                      <w:color w:val="000000"/>
                      <w:sz w:val="21"/>
                      <w:szCs w:val="21"/>
                      <w:lang w:val="en-US"/>
                    </w:rPr>
                    <w:t>生产原辅料</w:t>
                  </w:r>
                  <w:r>
                    <w:rPr>
                      <w:rFonts w:ascii="Times New Roman" w:hAnsi="Times New Roman"/>
                      <w:snapToGrid w:val="0"/>
                      <w:color w:val="000000"/>
                      <w:sz w:val="21"/>
                      <w:szCs w:val="21"/>
                      <w:lang w:val="en-US"/>
                    </w:rPr>
                    <w:t>中不涉及重金属物质</w:t>
                  </w:r>
                  <w:r>
                    <w:rPr>
                      <w:rFonts w:hint="eastAsia" w:ascii="Times New Roman" w:hAnsi="Times New Roman"/>
                      <w:snapToGrid w:val="0"/>
                      <w:color w:val="000000"/>
                      <w:sz w:val="21"/>
                      <w:szCs w:val="21"/>
                      <w:lang w:val="en-US"/>
                    </w:rPr>
                    <w:t>，</w:t>
                  </w:r>
                  <w:r>
                    <w:rPr>
                      <w:rFonts w:ascii="Times New Roman" w:hAnsi="Times New Roman"/>
                      <w:snapToGrid w:val="0"/>
                      <w:color w:val="000000"/>
                      <w:sz w:val="21"/>
                      <w:szCs w:val="21"/>
                      <w:lang w:val="en-US"/>
                    </w:rPr>
                    <w:t>项目生产不涉及重金属排放</w:t>
                  </w:r>
                  <w:r>
                    <w:rPr>
                      <w:rFonts w:hint="eastAsia" w:ascii="Times New Roman" w:hAnsi="Times New Roman"/>
                      <w:snapToGrid w:val="0"/>
                      <w:color w:val="000000"/>
                      <w:sz w:val="21"/>
                      <w:szCs w:val="21"/>
                      <w:lang w:val="en-US"/>
                    </w:rPr>
                    <w:t>。</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dxa"/>
                  <w:gridSpan w:val="3"/>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bCs/>
                      <w:sz w:val="21"/>
                      <w:szCs w:val="21"/>
                    </w:rPr>
                    <w:t>资源开发效率要求</w:t>
                  </w:r>
                </w:p>
              </w:tc>
              <w:tc>
                <w:tcPr>
                  <w:tcW w:w="7082" w:type="dxa"/>
                  <w:gridSpan w:val="2"/>
                  <w:vAlign w:val="center"/>
                </w:tcPr>
                <w:p>
                  <w:pPr>
                    <w:pStyle w:val="14"/>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hint="eastAsia" w:ascii="Times New Roman" w:hAnsi="Times New Roman"/>
                      <w:sz w:val="21"/>
                      <w:szCs w:val="21"/>
                    </w:rPr>
                    <w:t>开展高耗水工业行业节水技术改造，大力推广工业水循环利用，推进节水型企业、节水型工业园区建设。</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本项目为卫生材料及医药用品制造项目，属于医药制造业，</w:t>
                  </w:r>
                  <w:r>
                    <w:rPr>
                      <w:rFonts w:ascii="Times New Roman" w:hAnsi="Times New Roman"/>
                      <w:snapToGrid w:val="0"/>
                      <w:color w:val="000000"/>
                      <w:sz w:val="21"/>
                      <w:szCs w:val="21"/>
                      <w:lang w:val="en-US"/>
                    </w:rPr>
                    <w:t>不属于</w:t>
                  </w:r>
                  <w:r>
                    <w:rPr>
                      <w:rFonts w:hint="eastAsia" w:ascii="Times New Roman" w:hAnsi="Times New Roman"/>
                      <w:snapToGrid w:val="0"/>
                      <w:color w:val="000000"/>
                      <w:sz w:val="21"/>
                      <w:szCs w:val="21"/>
                      <w:lang w:val="en-US"/>
                    </w:rPr>
                    <w:t>高耗水行业。</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restart"/>
                  <w:vAlign w:val="center"/>
                </w:tcPr>
                <w:p>
                  <w:pPr>
                    <w:pStyle w:val="14"/>
                    <w:spacing w:before="0" w:after="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获嘉县亢村镇</w:t>
                  </w:r>
                </w:p>
              </w:tc>
              <w:tc>
                <w:tcPr>
                  <w:tcW w:w="709"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获嘉县水环境优先保护单元</w:t>
                  </w:r>
                </w:p>
              </w:tc>
              <w:tc>
                <w:tcPr>
                  <w:tcW w:w="567"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优先保护单元1</w:t>
                  </w:r>
                </w:p>
              </w:tc>
              <w:tc>
                <w:tcPr>
                  <w:tcW w:w="709" w:type="dxa"/>
                  <w:vMerge w:val="restart"/>
                  <w:vAlign w:val="center"/>
                </w:tcPr>
                <w:p>
                  <w:pPr>
                    <w:autoSpaceDE w:val="0"/>
                    <w:autoSpaceDN w:val="0"/>
                    <w:adjustRightInd w:val="0"/>
                    <w:jc w:val="center"/>
                    <w:rPr>
                      <w:color w:val="000000"/>
                      <w:szCs w:val="21"/>
                    </w:rPr>
                  </w:pPr>
                  <w:r>
                    <w:rPr>
                      <w:rFonts w:hint="eastAsia"/>
                      <w:color w:val="000000"/>
                      <w:szCs w:val="21"/>
                    </w:rPr>
                    <w:t>空间布局约束</w:t>
                  </w:r>
                </w:p>
              </w:tc>
              <w:tc>
                <w:tcPr>
                  <w:tcW w:w="6373" w:type="dxa"/>
                  <w:vAlign w:val="center"/>
                </w:tcPr>
                <w:p>
                  <w:pPr>
                    <w:autoSpaceDE w:val="0"/>
                    <w:autoSpaceDN w:val="0"/>
                    <w:adjustRightInd w:val="0"/>
                    <w:rPr>
                      <w:color w:val="000000"/>
                      <w:szCs w:val="21"/>
                    </w:rPr>
                  </w:pPr>
                  <w:r>
                    <w:rPr>
                      <w:rFonts w:hint="eastAsia"/>
                      <w:color w:val="000000"/>
                      <w:szCs w:val="21"/>
                    </w:rPr>
                    <w:t>1、饮用水地表水源各级保护区必须分别遵守下列规定：</w:t>
                  </w:r>
                </w:p>
                <w:p>
                  <w:pPr>
                    <w:autoSpaceDE w:val="0"/>
                    <w:autoSpaceDN w:val="0"/>
                    <w:adjustRightInd w:val="0"/>
                    <w:rPr>
                      <w:color w:val="000000"/>
                      <w:szCs w:val="21"/>
                    </w:rPr>
                  </w:pPr>
                  <w:r>
                    <w:rPr>
                      <w:rFonts w:hint="eastAsia"/>
                      <w:color w:val="000000"/>
                      <w:szCs w:val="21"/>
                    </w:rPr>
                    <w:t>一、一级保护区内</w:t>
                  </w:r>
                </w:p>
                <w:p>
                  <w:pPr>
                    <w:autoSpaceDE w:val="0"/>
                    <w:autoSpaceDN w:val="0"/>
                    <w:adjustRightInd w:val="0"/>
                    <w:rPr>
                      <w:color w:val="000000"/>
                      <w:szCs w:val="21"/>
                    </w:rPr>
                  </w:pPr>
                  <w:r>
                    <w:rPr>
                      <w:rFonts w:hint="eastAsia"/>
                      <w:color w:val="000000"/>
                      <w:szCs w:val="21"/>
                    </w:rPr>
                    <w:t>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pPr>
                    <w:autoSpaceDE w:val="0"/>
                    <w:autoSpaceDN w:val="0"/>
                    <w:adjustRightInd w:val="0"/>
                    <w:rPr>
                      <w:color w:val="000000"/>
                      <w:szCs w:val="21"/>
                    </w:rPr>
                  </w:pPr>
                  <w:r>
                    <w:rPr>
                      <w:rFonts w:hint="eastAsia"/>
                      <w:color w:val="000000"/>
                      <w:szCs w:val="21"/>
                    </w:rPr>
                    <w:t>二、二级保护区内</w:t>
                  </w:r>
                </w:p>
                <w:p>
                  <w:pPr>
                    <w:autoSpaceDE w:val="0"/>
                    <w:autoSpaceDN w:val="0"/>
                    <w:adjustRightInd w:val="0"/>
                    <w:rPr>
                      <w:color w:val="000000"/>
                      <w:szCs w:val="21"/>
                    </w:rPr>
                  </w:pPr>
                  <w:r>
                    <w:rPr>
                      <w:rFonts w:hint="eastAsia"/>
                      <w:color w:val="000000"/>
                      <w:szCs w:val="21"/>
                    </w:rPr>
                    <w:t>不准新建、扩建向水体排放污染物的建设项目。改建项目必须削减污染物排放量；原有排污口必须削减污水排放量，保证保护区内水质满足规定的水质标准；禁止设立装卸垃圾、粪便、油类和有毒物品的码头。</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本项目距离获嘉县亢村水厂地下水井群饮用水二级保护区约</w:t>
                  </w:r>
                  <w:r>
                    <w:rPr>
                      <w:rFonts w:ascii="Times New Roman" w:hAnsi="Times New Roman"/>
                      <w:snapToGrid w:val="0"/>
                      <w:color w:val="000000"/>
                      <w:sz w:val="21"/>
                      <w:szCs w:val="21"/>
                      <w:lang w:val="en-US"/>
                    </w:rPr>
                    <w:t>3160</w:t>
                  </w:r>
                  <w:r>
                    <w:rPr>
                      <w:rFonts w:hint="eastAsia" w:ascii="Times New Roman" w:hAnsi="Times New Roman"/>
                      <w:snapToGrid w:val="0"/>
                      <w:color w:val="000000"/>
                      <w:sz w:val="21"/>
                      <w:szCs w:val="21"/>
                      <w:lang w:val="en-US"/>
                    </w:rPr>
                    <w:t>m，不在其二级保护区内。</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2、饮用水地下水源各级保护区及准保护区内必须遵守下列规定：</w:t>
                  </w:r>
                </w:p>
                <w:p>
                  <w:pPr>
                    <w:autoSpaceDE w:val="0"/>
                    <w:autoSpaceDN w:val="0"/>
                    <w:adjustRightInd w:val="0"/>
                    <w:rPr>
                      <w:color w:val="000000"/>
                      <w:szCs w:val="21"/>
                    </w:rPr>
                  </w:pPr>
                  <w:r>
                    <w:rPr>
                      <w:rFonts w:hint="eastAsia"/>
                      <w:color w:val="000000"/>
                      <w:szCs w:val="21"/>
                    </w:rPr>
                    <w:t>一、一级保护区内</w:t>
                  </w:r>
                </w:p>
                <w:p>
                  <w:pPr>
                    <w:autoSpaceDE w:val="0"/>
                    <w:autoSpaceDN w:val="0"/>
                    <w:adjustRightInd w:val="0"/>
                    <w:rPr>
                      <w:color w:val="000000"/>
                      <w:szCs w:val="21"/>
                    </w:rPr>
                  </w:pPr>
                  <w:r>
                    <w:rPr>
                      <w:rFonts w:hint="eastAsia"/>
                      <w:color w:val="000000"/>
                      <w:szCs w:val="21"/>
                    </w:rPr>
                    <w:t>禁止建设与取水设施无关的建筑物；禁止从事农牧业活动；禁止倾倒、堆放工业废渣及城市垃圾、粪便和其它有害废弃物；禁止输送污水的渠道、管道及输油管道通过本区；禁止建设油库；禁止建立墓地。</w:t>
                  </w:r>
                </w:p>
                <w:p>
                  <w:pPr>
                    <w:autoSpaceDE w:val="0"/>
                    <w:autoSpaceDN w:val="0"/>
                    <w:adjustRightInd w:val="0"/>
                    <w:rPr>
                      <w:color w:val="000000"/>
                      <w:szCs w:val="21"/>
                    </w:rPr>
                  </w:pPr>
                  <w:r>
                    <w:rPr>
                      <w:rFonts w:hint="eastAsia"/>
                      <w:color w:val="000000"/>
                      <w:szCs w:val="21"/>
                    </w:rPr>
                    <w:t>二、二级保护区内</w:t>
                  </w:r>
                </w:p>
                <w:p>
                  <w:pPr>
                    <w:autoSpaceDE w:val="0"/>
                    <w:autoSpaceDN w:val="0"/>
                    <w:adjustRightInd w:val="0"/>
                    <w:rPr>
                      <w:color w:val="000000"/>
                      <w:szCs w:val="21"/>
                    </w:rPr>
                  </w:pPr>
                  <w:r>
                    <w:rPr>
                      <w:rFonts w:hint="eastAsia"/>
                      <w:color w:val="000000"/>
                      <w:szCs w:val="21"/>
                    </w:rPr>
                    <w:t>（一）对于潜水含水层地下水水源地</w:t>
                  </w:r>
                </w:p>
                <w:p>
                  <w:pPr>
                    <w:autoSpaceDE w:val="0"/>
                    <w:autoSpaceDN w:val="0"/>
                    <w:adjustRightInd w:val="0"/>
                    <w:rPr>
                      <w:color w:val="000000"/>
                      <w:szCs w:val="21"/>
                    </w:rPr>
                  </w:pPr>
                  <w:r>
                    <w:rPr>
                      <w:rFonts w:hint="eastAsia"/>
                      <w:color w:val="000000"/>
                      <w:szCs w:val="21"/>
                    </w:rPr>
                    <w:t>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w:t>
                  </w:r>
                </w:p>
                <w:p>
                  <w:pPr>
                    <w:autoSpaceDE w:val="0"/>
                    <w:autoSpaceDN w:val="0"/>
                    <w:adjustRightInd w:val="0"/>
                    <w:rPr>
                      <w:color w:val="000000"/>
                      <w:szCs w:val="21"/>
                    </w:rPr>
                  </w:pPr>
                  <w:r>
                    <w:rPr>
                      <w:rFonts w:hint="eastAsia"/>
                      <w:color w:val="000000"/>
                      <w:szCs w:val="21"/>
                    </w:rPr>
                    <w:t>（二）对于承压含水层地下水水源地</w:t>
                  </w:r>
                </w:p>
                <w:p>
                  <w:pPr>
                    <w:autoSpaceDE w:val="0"/>
                    <w:autoSpaceDN w:val="0"/>
                    <w:adjustRightInd w:val="0"/>
                    <w:rPr>
                      <w:color w:val="000000"/>
                      <w:szCs w:val="21"/>
                    </w:rPr>
                  </w:pPr>
                  <w:r>
                    <w:rPr>
                      <w:rFonts w:hint="eastAsia"/>
                      <w:color w:val="000000"/>
                      <w:szCs w:val="21"/>
                    </w:rPr>
                    <w:t>禁止承压水和潜水的混合开采，作好潜水的止水措施。</w:t>
                  </w:r>
                </w:p>
              </w:tc>
              <w:tc>
                <w:tcPr>
                  <w:tcW w:w="3975" w:type="dxa"/>
                  <w:vAlign w:val="center"/>
                </w:tcPr>
                <w:p>
                  <w:pPr>
                    <w:pStyle w:val="14"/>
                    <w:jc w:val="both"/>
                    <w:outlineLvl w:val="0"/>
                    <w:rPr>
                      <w:rFonts w:ascii="Times New Roman" w:hAnsi="Times New Roman"/>
                      <w:bCs/>
                      <w:color w:val="000000"/>
                      <w:sz w:val="21"/>
                      <w:szCs w:val="21"/>
                      <w:highlight w:val="yellow"/>
                      <w:lang w:val="en-US"/>
                    </w:rPr>
                  </w:pPr>
                  <w:r>
                    <w:rPr>
                      <w:rFonts w:hint="eastAsia" w:ascii="Times New Roman" w:hAnsi="Times New Roman"/>
                      <w:snapToGrid w:val="0"/>
                      <w:color w:val="000000"/>
                      <w:sz w:val="21"/>
                      <w:szCs w:val="21"/>
                      <w:lang w:val="en-US"/>
                    </w:rPr>
                    <w:t>本项目距离获嘉县亢村水厂地下水井群饮用水二级保护区约</w:t>
                  </w:r>
                  <w:r>
                    <w:rPr>
                      <w:rFonts w:ascii="Times New Roman" w:hAnsi="Times New Roman"/>
                      <w:snapToGrid w:val="0"/>
                      <w:color w:val="000000"/>
                      <w:sz w:val="21"/>
                      <w:szCs w:val="21"/>
                      <w:lang w:val="en-US"/>
                    </w:rPr>
                    <w:t>3160</w:t>
                  </w:r>
                  <w:r>
                    <w:rPr>
                      <w:rFonts w:hint="eastAsia" w:ascii="Times New Roman" w:hAnsi="Times New Roman"/>
                      <w:snapToGrid w:val="0"/>
                      <w:color w:val="000000"/>
                      <w:sz w:val="21"/>
                      <w:szCs w:val="21"/>
                      <w:lang w:val="en-US"/>
                    </w:rPr>
                    <w:t>m，不在其二级保护区内。</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w:t>
                  </w:r>
                </w:p>
              </w:tc>
              <w:tc>
                <w:tcPr>
                  <w:tcW w:w="709"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获嘉县产业集聚区</w:t>
                  </w:r>
                </w:p>
              </w:tc>
              <w:tc>
                <w:tcPr>
                  <w:tcW w:w="567"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重点管控单元1</w:t>
                  </w:r>
                </w:p>
              </w:tc>
              <w:tc>
                <w:tcPr>
                  <w:tcW w:w="709" w:type="dxa"/>
                  <w:vMerge w:val="restart"/>
                  <w:vAlign w:val="center"/>
                </w:tcPr>
                <w:p>
                  <w:pPr>
                    <w:autoSpaceDE w:val="0"/>
                    <w:autoSpaceDN w:val="0"/>
                    <w:adjustRightInd w:val="0"/>
                    <w:jc w:val="center"/>
                    <w:rPr>
                      <w:color w:val="000000"/>
                      <w:szCs w:val="21"/>
                    </w:rPr>
                  </w:pPr>
                  <w:r>
                    <w:rPr>
                      <w:rFonts w:hint="eastAsia"/>
                      <w:color w:val="000000"/>
                      <w:szCs w:val="21"/>
                    </w:rPr>
                    <w:t>空间布局约束</w:t>
                  </w:r>
                </w:p>
              </w:tc>
              <w:tc>
                <w:tcPr>
                  <w:tcW w:w="6373" w:type="dxa"/>
                  <w:vAlign w:val="center"/>
                </w:tcPr>
                <w:p>
                  <w:pPr>
                    <w:autoSpaceDE w:val="0"/>
                    <w:autoSpaceDN w:val="0"/>
                    <w:adjustRightInd w:val="0"/>
                    <w:rPr>
                      <w:color w:val="000000"/>
                      <w:szCs w:val="21"/>
                    </w:rPr>
                  </w:pPr>
                  <w:r>
                    <w:rPr>
                      <w:rFonts w:hint="eastAsia"/>
                      <w:color w:val="000000"/>
                      <w:szCs w:val="21"/>
                    </w:rPr>
                    <w:t>1、北区城南片区严格限制精细有机化工合成产业发展。</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本项目位于新乡市获嘉县亢村镇产业新城纬八路2</w:t>
                  </w:r>
                  <w:r>
                    <w:rPr>
                      <w:rFonts w:ascii="Times New Roman" w:hAnsi="Times New Roman"/>
                      <w:snapToGrid w:val="0"/>
                      <w:color w:val="000000"/>
                      <w:sz w:val="21"/>
                      <w:szCs w:val="21"/>
                      <w:lang w:val="en-US"/>
                    </w:rPr>
                    <w:t>号</w:t>
                  </w:r>
                  <w:r>
                    <w:rPr>
                      <w:rFonts w:hint="eastAsia" w:ascii="Times New Roman" w:hAnsi="Times New Roman"/>
                      <w:snapToGrid w:val="0"/>
                      <w:color w:val="000000"/>
                      <w:sz w:val="21"/>
                      <w:szCs w:val="21"/>
                      <w:lang w:val="en-US"/>
                    </w:rPr>
                    <w:t>，属于</w:t>
                  </w:r>
                  <w:r>
                    <w:rPr>
                      <w:rFonts w:ascii="Times New Roman" w:hAnsi="Times New Roman"/>
                      <w:snapToGrid w:val="0"/>
                      <w:color w:val="000000"/>
                      <w:sz w:val="21"/>
                      <w:szCs w:val="21"/>
                      <w:lang w:val="en-US"/>
                    </w:rPr>
                    <w:t>新乡市获嘉县产业集聚区南区</w:t>
                  </w:r>
                  <w:r>
                    <w:rPr>
                      <w:rFonts w:hint="eastAsia" w:ascii="Times New Roman" w:hAnsi="Times New Roman"/>
                      <w:snapToGrid w:val="0"/>
                      <w:color w:val="000000"/>
                      <w:sz w:val="21"/>
                      <w:szCs w:val="21"/>
                      <w:lang w:val="en-US"/>
                    </w:rPr>
                    <w:t>范围</w:t>
                  </w:r>
                  <w:r>
                    <w:rPr>
                      <w:rFonts w:ascii="Times New Roman" w:hAnsi="Times New Roman"/>
                      <w:snapToGrid w:val="0"/>
                      <w:color w:val="000000"/>
                      <w:sz w:val="21"/>
                      <w:szCs w:val="21"/>
                      <w:lang w:val="en-US"/>
                    </w:rPr>
                    <w:t>，</w:t>
                  </w:r>
                  <w:r>
                    <w:rPr>
                      <w:rFonts w:hint="eastAsia" w:ascii="Times New Roman" w:hAnsi="Times New Roman"/>
                      <w:snapToGrid w:val="0"/>
                      <w:color w:val="000000"/>
                      <w:sz w:val="21"/>
                      <w:szCs w:val="21"/>
                      <w:lang w:val="en-US"/>
                    </w:rPr>
                    <w:t>不在北区城南片区范围内。</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2、现有煤化工企业维持现状、禁止扩大用地规模。提升改造应严格落实《河南省传统煤化工行业转型发展行动方案（2018-2020年）》要求。</w:t>
                  </w:r>
                </w:p>
              </w:tc>
              <w:tc>
                <w:tcPr>
                  <w:tcW w:w="3975" w:type="dxa"/>
                  <w:vAlign w:val="center"/>
                </w:tcPr>
                <w:p>
                  <w:pPr>
                    <w:pStyle w:val="14"/>
                    <w:spacing w:before="0" w:beforeAutospacing="0" w:after="0" w:afterAutospacing="0"/>
                    <w:jc w:val="center"/>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3、禁止新建光气、氧化钠、氟乙酸甲醋等剧毒化学品以及硝酸铵、硝化棉等易制爆化学品；禁止新建农药原药、有机颜料、染料及中间体、印染助剂、橡胶助剂项目（鼓励类的产品和生产工艺除外）以及使用高VOCs含量的溶剂型涂料、油墨和胶黏剂项目。</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4、北区城东片区禁止入驻化工项目，在原装备制造业基础上，优先引进科技含量高、污染小能耗低项目。</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本项目位于新乡市获嘉县亢村镇产业新城纬八路2</w:t>
                  </w:r>
                  <w:r>
                    <w:rPr>
                      <w:rFonts w:ascii="Times New Roman" w:hAnsi="Times New Roman"/>
                      <w:snapToGrid w:val="0"/>
                      <w:color w:val="000000"/>
                      <w:sz w:val="21"/>
                      <w:szCs w:val="21"/>
                      <w:lang w:val="en-US"/>
                    </w:rPr>
                    <w:t>号</w:t>
                  </w:r>
                  <w:r>
                    <w:rPr>
                      <w:rFonts w:hint="eastAsia" w:ascii="Times New Roman" w:hAnsi="Times New Roman"/>
                      <w:snapToGrid w:val="0"/>
                      <w:color w:val="000000"/>
                      <w:sz w:val="21"/>
                      <w:szCs w:val="21"/>
                      <w:lang w:val="en-US"/>
                    </w:rPr>
                    <w:t>，属于</w:t>
                  </w:r>
                  <w:r>
                    <w:rPr>
                      <w:rFonts w:ascii="Times New Roman" w:hAnsi="Times New Roman"/>
                      <w:snapToGrid w:val="0"/>
                      <w:color w:val="000000"/>
                      <w:sz w:val="21"/>
                      <w:szCs w:val="21"/>
                      <w:lang w:val="en-US"/>
                    </w:rPr>
                    <w:t>新乡市获嘉县产业集聚区南区</w:t>
                  </w:r>
                  <w:r>
                    <w:rPr>
                      <w:rFonts w:hint="eastAsia" w:ascii="Times New Roman" w:hAnsi="Times New Roman"/>
                      <w:snapToGrid w:val="0"/>
                      <w:color w:val="000000"/>
                      <w:sz w:val="21"/>
                      <w:szCs w:val="21"/>
                      <w:lang w:val="en-US"/>
                    </w:rPr>
                    <w:t>范围</w:t>
                  </w:r>
                  <w:r>
                    <w:rPr>
                      <w:rFonts w:ascii="Times New Roman" w:hAnsi="Times New Roman"/>
                      <w:snapToGrid w:val="0"/>
                      <w:color w:val="000000"/>
                      <w:sz w:val="21"/>
                      <w:szCs w:val="21"/>
                      <w:lang w:val="en-US"/>
                    </w:rPr>
                    <w:t>，</w:t>
                  </w:r>
                  <w:r>
                    <w:rPr>
                      <w:rFonts w:hint="eastAsia" w:ascii="Times New Roman" w:hAnsi="Times New Roman"/>
                      <w:snapToGrid w:val="0"/>
                      <w:color w:val="000000"/>
                      <w:sz w:val="21"/>
                      <w:szCs w:val="21"/>
                      <w:lang w:val="en-US"/>
                    </w:rPr>
                    <w:t>不在北区城东片区范围内。</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5、南区禁止入驻化工项目。</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snapToGrid w:val="0"/>
                      <w:color w:val="000000"/>
                      <w:sz w:val="21"/>
                      <w:szCs w:val="21"/>
                      <w:lang w:val="en-US"/>
                    </w:rPr>
                    <w:t>本项目不属于</w:t>
                  </w:r>
                  <w:r>
                    <w:rPr>
                      <w:rFonts w:hint="eastAsia" w:ascii="Times New Roman" w:hAnsi="Times New Roman"/>
                      <w:snapToGrid w:val="0"/>
                      <w:color w:val="000000"/>
                      <w:sz w:val="21"/>
                      <w:szCs w:val="21"/>
                      <w:lang w:val="en-US"/>
                    </w:rPr>
                    <w:t>化工</w:t>
                  </w:r>
                  <w:r>
                    <w:rPr>
                      <w:rFonts w:ascii="Times New Roman" w:hAnsi="Times New Roman"/>
                      <w:snapToGrid w:val="0"/>
                      <w:color w:val="000000"/>
                      <w:sz w:val="21"/>
                      <w:szCs w:val="21"/>
                      <w:lang w:val="en-US"/>
                    </w:rPr>
                    <w:t>项目</w:t>
                  </w:r>
                  <w:r>
                    <w:rPr>
                      <w:rFonts w:hint="eastAsia" w:ascii="Times New Roman" w:hAnsi="Times New Roman"/>
                      <w:snapToGrid w:val="0"/>
                      <w:color w:val="000000"/>
                      <w:sz w:val="21"/>
                      <w:szCs w:val="21"/>
                      <w:lang w:val="en-US"/>
                    </w:rPr>
                    <w:t>。</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6、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项目，属于医药制造业，不属于“两高”项目。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restart"/>
                  <w:vAlign w:val="center"/>
                </w:tcPr>
                <w:p>
                  <w:pPr>
                    <w:autoSpaceDE w:val="0"/>
                    <w:autoSpaceDN w:val="0"/>
                    <w:adjustRightInd w:val="0"/>
                    <w:jc w:val="center"/>
                    <w:rPr>
                      <w:color w:val="000000"/>
                      <w:szCs w:val="21"/>
                    </w:rPr>
                  </w:pPr>
                  <w:r>
                    <w:rPr>
                      <w:rFonts w:hint="eastAsia"/>
                      <w:color w:val="000000"/>
                      <w:szCs w:val="21"/>
                    </w:rPr>
                    <w:t>污染物排放管控</w:t>
                  </w:r>
                </w:p>
              </w:tc>
              <w:tc>
                <w:tcPr>
                  <w:tcW w:w="6373" w:type="dxa"/>
                  <w:vAlign w:val="center"/>
                </w:tcPr>
                <w:p>
                  <w:pPr>
                    <w:autoSpaceDE w:val="0"/>
                    <w:autoSpaceDN w:val="0"/>
                    <w:adjustRightInd w:val="0"/>
                    <w:rPr>
                      <w:color w:val="000000"/>
                      <w:szCs w:val="21"/>
                    </w:rPr>
                  </w:pPr>
                  <w:r>
                    <w:rPr>
                      <w:rFonts w:hint="eastAsia"/>
                      <w:color w:val="000000"/>
                      <w:szCs w:val="21"/>
                    </w:rPr>
                    <w:t>1、二氧化硫、氮氧化物、颗粒物、VOCs全面执行大气污染物特别排放限值。</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本项目废气污染物为VOCs，全面执行大气污染物特别排放标准。</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2、污水处理厂逐步实施技改，出水执行《地表水环境质量标准》（GB3838-2002）Ⅴ类标准要求，确保区域水环境质量达标。</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本项目生活污水经化粪池处理后排入获嘉县亢村污水处理厂，获嘉县亢村污水处理厂出水执行《地表水环境质量标准》（GB3838-2002）</w:t>
                  </w:r>
                  <w:r>
                    <w:rPr>
                      <w:rFonts w:ascii="Times New Roman" w:hAnsi="Times New Roman"/>
                      <w:snapToGrid w:val="0"/>
                      <w:color w:val="000000"/>
                      <w:sz w:val="21"/>
                      <w:szCs w:val="21"/>
                      <w:lang w:val="en-US"/>
                    </w:rPr>
                    <w:t>Ⅴ</w:t>
                  </w:r>
                  <w:r>
                    <w:rPr>
                      <w:rFonts w:hint="eastAsia" w:ascii="Times New Roman" w:hAnsi="Times New Roman"/>
                      <w:snapToGrid w:val="0"/>
                      <w:color w:val="000000"/>
                      <w:sz w:val="21"/>
                      <w:szCs w:val="21"/>
                      <w:lang w:val="en-US"/>
                    </w:rPr>
                    <w:t>类标准要求，TN执行一级A标准。</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3、定期对地下水质进行监测，及时采取有效防治措施，避免对地下水造成污染。</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本项目不存在对地下水造成污染的途径。</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4、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项目，属于医药制造业，不属于“两高”项目。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5、新建耗煤项目还应严格按规定采取煤炭消费减量替代措施，不得使用高污染燃料作为煤炭减量替代措施。</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snapToGrid w:val="0"/>
                      <w:color w:val="000000"/>
                      <w:sz w:val="21"/>
                      <w:szCs w:val="21"/>
                      <w:lang w:val="en-US"/>
                    </w:rPr>
                    <w:t>本项目</w:t>
                  </w:r>
                  <w:r>
                    <w:rPr>
                      <w:rFonts w:hint="eastAsia" w:ascii="Times New Roman" w:hAnsi="Times New Roman"/>
                      <w:snapToGrid w:val="0"/>
                      <w:color w:val="000000"/>
                      <w:sz w:val="21"/>
                      <w:szCs w:val="21"/>
                      <w:lang w:val="en-US"/>
                    </w:rPr>
                    <w:t>为扩建项目，不属于耗煤项目</w:t>
                  </w:r>
                  <w:r>
                    <w:rPr>
                      <w:rFonts w:ascii="Times New Roman" w:hAnsi="Times New Roman"/>
                      <w:snapToGrid w:val="0"/>
                      <w:color w:val="000000"/>
                      <w:sz w:val="21"/>
                      <w:szCs w:val="21"/>
                      <w:lang w:val="en-US"/>
                    </w:rPr>
                    <w:t>。</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6、已出台超低排放要求的“两高”行业建设项目应满足超低排放要求。</w:t>
                  </w:r>
                </w:p>
              </w:tc>
              <w:tc>
                <w:tcPr>
                  <w:tcW w:w="3975" w:type="dxa"/>
                  <w:vAlign w:val="center"/>
                </w:tcPr>
                <w:p>
                  <w:pPr>
                    <w:pStyle w:val="14"/>
                    <w:spacing w:before="0" w:beforeAutospacing="0" w:after="0" w:afterAutospacing="0"/>
                    <w:jc w:val="both"/>
                    <w:outlineLvl w:val="0"/>
                    <w:rPr>
                      <w:rFonts w:ascii="Times New Roman" w:hAnsi="Times New Roman"/>
                      <w:snapToGrid w:val="0"/>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项目，属于医药制造业，不属于“两高”项目。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restart"/>
                  <w:vAlign w:val="center"/>
                </w:tcPr>
                <w:p>
                  <w:pPr>
                    <w:autoSpaceDE w:val="0"/>
                    <w:autoSpaceDN w:val="0"/>
                    <w:adjustRightInd w:val="0"/>
                    <w:jc w:val="center"/>
                    <w:rPr>
                      <w:color w:val="000000"/>
                      <w:szCs w:val="21"/>
                    </w:rPr>
                  </w:pPr>
                  <w:r>
                    <w:rPr>
                      <w:rFonts w:hint="eastAsia"/>
                      <w:color w:val="000000"/>
                      <w:szCs w:val="21"/>
                    </w:rPr>
                    <w:t>环境风险防控</w:t>
                  </w:r>
                </w:p>
              </w:tc>
              <w:tc>
                <w:tcPr>
                  <w:tcW w:w="6373" w:type="dxa"/>
                  <w:vAlign w:val="center"/>
                </w:tcPr>
                <w:p>
                  <w:pPr>
                    <w:autoSpaceDE w:val="0"/>
                    <w:autoSpaceDN w:val="0"/>
                    <w:adjustRightInd w:val="0"/>
                    <w:rPr>
                      <w:color w:val="000000"/>
                      <w:szCs w:val="21"/>
                    </w:rPr>
                  </w:pPr>
                  <w:r>
                    <w:rPr>
                      <w:rFonts w:hint="eastAsia"/>
                      <w:color w:val="000000"/>
                      <w:szCs w:val="21"/>
                    </w:rPr>
                    <w:t>1、规范产业集聚区建设，对涉重行业企业加强管理，建立土壤和地下水污染隐患排查治理制度、风险防控体系和长效监管机制。</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2、有色金属冶炼、铅酸蓄电池、石油加工、化工、电镀、制革和危险化学品生产、储存、使用等企业在拆除生产设施设备、污染治理设施时，要事先制定残留污染物清理和安全处置方案。</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3、规范专业园区建设，对涉重行业企业加强管理，建立土壤和地下水污染隐患排查治理制度、风险防控体系和长效监管机制。</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4、建立健全园区环境风险管理体系。加快环境风险预警体系建设，健全环境风险单位信息库，严格危险化学品管理。</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autoSpaceDE w:val="0"/>
                    <w:autoSpaceDN w:val="0"/>
                    <w:adjustRightInd w:val="0"/>
                    <w:rPr>
                      <w:color w:val="000000"/>
                      <w:szCs w:val="21"/>
                    </w:rPr>
                  </w:pPr>
                  <w:r>
                    <w:rPr>
                      <w:rFonts w:hint="eastAsia"/>
                      <w:color w:val="000000"/>
                      <w:szCs w:val="21"/>
                    </w:rPr>
                    <w:t>5、建立完善有效的环境风险防控设施和有效的拦截、降污、导流等措施，防止对地表水环境造成危害。</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Align w:val="center"/>
                </w:tcPr>
                <w:p>
                  <w:pPr>
                    <w:autoSpaceDE w:val="0"/>
                    <w:autoSpaceDN w:val="0"/>
                    <w:adjustRightInd w:val="0"/>
                    <w:jc w:val="center"/>
                    <w:rPr>
                      <w:color w:val="000000"/>
                      <w:szCs w:val="21"/>
                    </w:rPr>
                  </w:pPr>
                  <w:r>
                    <w:rPr>
                      <w:rFonts w:hint="eastAsia"/>
                      <w:color w:val="000000"/>
                      <w:szCs w:val="21"/>
                    </w:rPr>
                    <w:t>资源利用效率要求</w:t>
                  </w:r>
                </w:p>
              </w:tc>
              <w:tc>
                <w:tcPr>
                  <w:tcW w:w="6373" w:type="dxa"/>
                  <w:vAlign w:val="center"/>
                </w:tcPr>
                <w:p>
                  <w:pPr>
                    <w:autoSpaceDE w:val="0"/>
                    <w:autoSpaceDN w:val="0"/>
                    <w:adjustRightInd w:val="0"/>
                    <w:rPr>
                      <w:color w:val="000000"/>
                      <w:szCs w:val="21"/>
                    </w:rPr>
                  </w:pPr>
                  <w:r>
                    <w:rPr>
                      <w:rFonts w:hint="eastAsia"/>
                      <w:color w:val="000000"/>
                      <w:szCs w:val="21"/>
                    </w:rPr>
                    <w:t>进一步优化能源结构，加快集中供热、供水等及配套管网建设，逐步关停企业自备水井。</w:t>
                  </w:r>
                </w:p>
              </w:tc>
              <w:tc>
                <w:tcPr>
                  <w:tcW w:w="3975"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获嘉县亢村镇</w:t>
                  </w:r>
                </w:p>
              </w:tc>
              <w:tc>
                <w:tcPr>
                  <w:tcW w:w="709"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获嘉县大气布局敏感区</w:t>
                  </w:r>
                </w:p>
              </w:tc>
              <w:tc>
                <w:tcPr>
                  <w:tcW w:w="567" w:type="dxa"/>
                  <w:vMerge w:val="restart"/>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重点管控单元3</w:t>
                  </w:r>
                </w:p>
              </w:tc>
              <w:tc>
                <w:tcPr>
                  <w:tcW w:w="709" w:type="dxa"/>
                  <w:vMerge w:val="restart"/>
                  <w:vAlign w:val="center"/>
                </w:tcPr>
                <w:p>
                  <w:pPr>
                    <w:autoSpaceDE w:val="0"/>
                    <w:autoSpaceDN w:val="0"/>
                    <w:adjustRightInd w:val="0"/>
                    <w:jc w:val="center"/>
                    <w:rPr>
                      <w:color w:val="000000"/>
                      <w:szCs w:val="21"/>
                    </w:rPr>
                  </w:pPr>
                  <w:r>
                    <w:rPr>
                      <w:rFonts w:hint="eastAsia"/>
                      <w:color w:val="000000"/>
                      <w:szCs w:val="21"/>
                    </w:rPr>
                    <w:t>空间布局约束</w:t>
                  </w: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1、禁止新建、改建及扩建高排放、高污染项目，包括钢铁、有色、水泥、平板玻璃、建筑陶瓷等行业及其他排放重金属、持久性有机污染物的工业项目等。</w:t>
                  </w:r>
                </w:p>
              </w:tc>
              <w:tc>
                <w:tcPr>
                  <w:tcW w:w="3975"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w:t>
                  </w:r>
                  <w:r>
                    <w:rPr>
                      <w:rFonts w:hint="eastAsia" w:ascii="Times New Roman" w:hAnsi="Times New Roman"/>
                      <w:sz w:val="21"/>
                      <w:szCs w:val="21"/>
                      <w:lang w:val="en-US"/>
                    </w:rPr>
                    <w:t>不涉及重金属和持久性有机污染物</w:t>
                  </w:r>
                  <w:r>
                    <w:rPr>
                      <w:rFonts w:hint="eastAsia" w:ascii="Times New Roman" w:hAnsi="Times New Roman"/>
                      <w:sz w:val="21"/>
                      <w:szCs w:val="21"/>
                    </w:rPr>
                    <w:t>。</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2、南区禁止入驻化工项目。</w:t>
                  </w:r>
                </w:p>
              </w:tc>
              <w:tc>
                <w:tcPr>
                  <w:tcW w:w="3975" w:type="dxa"/>
                  <w:vAlign w:val="center"/>
                </w:tcPr>
                <w:p>
                  <w:pPr>
                    <w:pStyle w:val="14"/>
                    <w:spacing w:before="0" w:beforeAutospacing="0" w:after="0" w:afterAutospacing="0"/>
                    <w:jc w:val="center"/>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本项目不属于化工项目。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autoSpaceDE w:val="0"/>
                    <w:autoSpaceDN w:val="0"/>
                    <w:adjustRightInd w:val="0"/>
                    <w:jc w:val="center"/>
                    <w:rPr>
                      <w:color w:val="000000"/>
                      <w:szCs w:val="21"/>
                    </w:rPr>
                  </w:pP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3、禁止新、改、扩建“两高”项目。</w:t>
                  </w:r>
                </w:p>
              </w:tc>
              <w:tc>
                <w:tcPr>
                  <w:tcW w:w="3975"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sz w:val="21"/>
                      <w:szCs w:val="21"/>
                    </w:rPr>
                    <w:t>本项目为扩建</w:t>
                  </w:r>
                  <w:r>
                    <w:rPr>
                      <w:rFonts w:hint="eastAsia" w:ascii="Times New Roman" w:hAnsi="Times New Roman"/>
                      <w:sz w:val="21"/>
                      <w:szCs w:val="21"/>
                      <w:lang w:val="en-US"/>
                    </w:rPr>
                    <w:t>卫生材料及医药用品制造</w:t>
                  </w:r>
                  <w:r>
                    <w:rPr>
                      <w:rFonts w:hint="eastAsia" w:ascii="Times New Roman" w:hAnsi="Times New Roman"/>
                      <w:sz w:val="21"/>
                      <w:szCs w:val="21"/>
                    </w:rPr>
                    <w:t>项目，属于医药制造业，不属于“两高”项目。</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Align w:val="center"/>
                </w:tcPr>
                <w:p>
                  <w:pPr>
                    <w:autoSpaceDE w:val="0"/>
                    <w:autoSpaceDN w:val="0"/>
                    <w:adjustRightInd w:val="0"/>
                    <w:jc w:val="center"/>
                    <w:rPr>
                      <w:color w:val="000000"/>
                      <w:szCs w:val="21"/>
                    </w:rPr>
                  </w:pPr>
                  <w:r>
                    <w:rPr>
                      <w:rFonts w:hint="eastAsia"/>
                      <w:color w:val="000000"/>
                      <w:szCs w:val="21"/>
                    </w:rPr>
                    <w:t>污染物排放管控</w:t>
                  </w: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二氧化硫、氮氧化物、颗粒物、VOCs全面执行大气污染物特别排放限值。</w:t>
                  </w:r>
                </w:p>
              </w:tc>
              <w:tc>
                <w:tcPr>
                  <w:tcW w:w="3975"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hint="eastAsia" w:ascii="Times New Roman" w:hAnsi="Times New Roman"/>
                      <w:snapToGrid w:val="0"/>
                      <w:color w:val="000000"/>
                      <w:sz w:val="21"/>
                      <w:szCs w:val="21"/>
                      <w:lang w:val="en-US"/>
                    </w:rPr>
                    <w:t>本项目废气污染物为VOCs，全面执行大气污染物特别排放标准。</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Align w:val="center"/>
                </w:tcPr>
                <w:p>
                  <w:pPr>
                    <w:autoSpaceDE w:val="0"/>
                    <w:autoSpaceDN w:val="0"/>
                    <w:adjustRightInd w:val="0"/>
                    <w:jc w:val="center"/>
                    <w:rPr>
                      <w:color w:val="000000"/>
                      <w:szCs w:val="21"/>
                    </w:rPr>
                  </w:pPr>
                  <w:r>
                    <w:rPr>
                      <w:rFonts w:hint="eastAsia"/>
                      <w:color w:val="000000"/>
                      <w:szCs w:val="21"/>
                    </w:rPr>
                    <w:t>环境风险防控</w:t>
                  </w: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color w:val="000000"/>
                      <w:sz w:val="21"/>
                      <w:szCs w:val="21"/>
                      <w:lang w:val="en-US"/>
                    </w:rPr>
                    <w:t>建立土壤和地下水污染隐患排查治理制度、风险防控体系和长效监管机制。</w:t>
                  </w:r>
                </w:p>
              </w:tc>
              <w:tc>
                <w:tcPr>
                  <w:tcW w:w="3975" w:type="dxa"/>
                  <w:vAlign w:val="center"/>
                </w:tcPr>
                <w:p>
                  <w:pPr>
                    <w:pStyle w:val="14"/>
                    <w:spacing w:before="0" w:beforeAutospacing="0" w:after="0" w:afterAutospacing="0"/>
                    <w:jc w:val="center"/>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567" w:type="dxa"/>
                  <w:vMerge w:val="continue"/>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p>
              </w:tc>
              <w:tc>
                <w:tcPr>
                  <w:tcW w:w="709" w:type="dxa"/>
                  <w:vAlign w:val="center"/>
                </w:tcPr>
                <w:p>
                  <w:pPr>
                    <w:autoSpaceDE w:val="0"/>
                    <w:autoSpaceDN w:val="0"/>
                    <w:adjustRightInd w:val="0"/>
                    <w:jc w:val="center"/>
                    <w:rPr>
                      <w:color w:val="000000"/>
                      <w:szCs w:val="21"/>
                    </w:rPr>
                  </w:pPr>
                  <w:r>
                    <w:rPr>
                      <w:rFonts w:hint="eastAsia"/>
                      <w:color w:val="000000"/>
                      <w:szCs w:val="21"/>
                    </w:rPr>
                    <w:t>资源利用效率要求</w:t>
                  </w:r>
                </w:p>
              </w:tc>
              <w:tc>
                <w:tcPr>
                  <w:tcW w:w="6373" w:type="dxa"/>
                  <w:vAlign w:val="center"/>
                </w:tcPr>
                <w:p>
                  <w:pPr>
                    <w:pStyle w:val="1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color w:val="000000"/>
                      <w:sz w:val="21"/>
                      <w:szCs w:val="21"/>
                      <w:lang w:val="en-US"/>
                    </w:rPr>
                    <w:t>加快产业集聚区集中供热、供气、供水等基础设施建设。</w:t>
                  </w:r>
                </w:p>
              </w:tc>
              <w:tc>
                <w:tcPr>
                  <w:tcW w:w="3975" w:type="dxa"/>
                  <w:vAlign w:val="center"/>
                </w:tcPr>
                <w:p>
                  <w:pPr>
                    <w:pStyle w:val="14"/>
                    <w:spacing w:before="0" w:beforeAutospacing="0" w:after="0" w:afterAutospacing="0"/>
                    <w:jc w:val="center"/>
                    <w:outlineLvl w:val="0"/>
                    <w:rPr>
                      <w:rFonts w:ascii="Times New Roman" w:hAnsi="Times New Roman"/>
                      <w:color w:val="000000"/>
                      <w:sz w:val="21"/>
                      <w:szCs w:val="21"/>
                      <w:lang w:val="en-US"/>
                    </w:rPr>
                  </w:pPr>
                  <w:r>
                    <w:rPr>
                      <w:rFonts w:hint="eastAsia" w:ascii="Times New Roman" w:hAnsi="Times New Roman"/>
                      <w:color w:val="000000"/>
                      <w:sz w:val="21"/>
                      <w:szCs w:val="21"/>
                      <w:lang w:val="en-US"/>
                    </w:rPr>
                    <w:t>本项目不涉及。</w:t>
                  </w:r>
                </w:p>
              </w:tc>
              <w:tc>
                <w:tcPr>
                  <w:tcW w:w="536" w:type="dxa"/>
                  <w:vAlign w:val="center"/>
                </w:tcPr>
                <w:p>
                  <w:pPr>
                    <w:pStyle w:val="14"/>
                    <w:spacing w:before="0" w:beforeAutospacing="0" w:after="0" w:afterAutospacing="0"/>
                    <w:jc w:val="center"/>
                    <w:outlineLvl w:val="0"/>
                    <w:rPr>
                      <w:rFonts w:ascii="Times New Roman" w:hAnsi="Times New Roman"/>
                      <w:snapToGrid w:val="0"/>
                      <w:color w:val="000000"/>
                      <w:sz w:val="21"/>
                      <w:szCs w:val="21"/>
                      <w:lang w:val="en-US"/>
                    </w:rPr>
                  </w:pPr>
                  <w:r>
                    <w:rPr>
                      <w:rFonts w:hint="eastAsia" w:ascii="Times New Roman" w:hAnsi="Times New Roman"/>
                      <w:snapToGrid w:val="0"/>
                      <w:color w:val="000000"/>
                      <w:sz w:val="21"/>
                      <w:szCs w:val="21"/>
                      <w:lang w:val="en-US"/>
                    </w:rPr>
                    <w:t>符合</w:t>
                  </w:r>
                </w:p>
              </w:tc>
            </w:tr>
          </w:tbl>
          <w:p>
            <w:pPr>
              <w:autoSpaceDE w:val="0"/>
              <w:autoSpaceDN w:val="0"/>
              <w:adjustRightInd w:val="0"/>
              <w:snapToGrid w:val="0"/>
              <w:spacing w:line="460" w:lineRule="exact"/>
              <w:ind w:firstLine="480" w:firstLineChars="200"/>
              <w:rPr>
                <w:color w:val="000000"/>
                <w:sz w:val="24"/>
              </w:rPr>
            </w:pPr>
            <w:r>
              <w:rPr>
                <w:color w:val="000000"/>
                <w:sz w:val="24"/>
              </w:rPr>
              <w:t>由上表可知，本项目符合《</w:t>
            </w:r>
            <w:r>
              <w:rPr>
                <w:rFonts w:hint="eastAsia"/>
                <w:color w:val="000000"/>
                <w:sz w:val="24"/>
              </w:rPr>
              <w:t>新乡市“三线一单”生态环境准入清单（试行）-获嘉县环境管控单元生态环境准入清单</w:t>
            </w:r>
            <w:r>
              <w:rPr>
                <w:color w:val="000000"/>
                <w:sz w:val="24"/>
              </w:rPr>
              <w:t>》中的相关要求。</w:t>
            </w:r>
          </w:p>
          <w:p>
            <w:pPr>
              <w:autoSpaceDE w:val="0"/>
              <w:autoSpaceDN w:val="0"/>
              <w:adjustRightInd w:val="0"/>
              <w:snapToGrid w:val="0"/>
              <w:spacing w:line="460" w:lineRule="exact"/>
              <w:ind w:firstLine="482" w:firstLineChars="200"/>
              <w:rPr>
                <w:b/>
                <w:color w:val="000000"/>
                <w:sz w:val="24"/>
              </w:rPr>
            </w:pPr>
            <w:r>
              <w:rPr>
                <w:b/>
                <w:color w:val="000000"/>
                <w:sz w:val="24"/>
              </w:rPr>
              <w:t>5、与其他相关政策文件相符性分析</w:t>
            </w:r>
          </w:p>
          <w:p>
            <w:pPr>
              <w:pStyle w:val="14"/>
              <w:snapToGrid w:val="0"/>
              <w:spacing w:before="0" w:beforeAutospacing="0" w:after="0" w:afterAutospacing="0" w:line="460" w:lineRule="exact"/>
              <w:ind w:firstLine="480" w:firstLineChars="200"/>
              <w:jc w:val="both"/>
              <w:outlineLvl w:val="0"/>
              <w:rPr>
                <w:rFonts w:ascii="Times New Roman" w:hAnsi="Times New Roman"/>
                <w:color w:val="000000"/>
                <w:lang w:val="en-US"/>
              </w:rPr>
            </w:pPr>
            <w:r>
              <w:rPr>
                <w:rFonts w:hint="eastAsia" w:ascii="Times New Roman" w:hAnsi="Times New Roman"/>
                <w:color w:val="000000"/>
                <w:lang w:val="en-US"/>
              </w:rPr>
              <w:t>（1）</w:t>
            </w:r>
            <w:r>
              <w:rPr>
                <w:rFonts w:ascii="Times New Roman" w:hAnsi="Times New Roman"/>
                <w:color w:val="000000"/>
                <w:lang w:val="en-US"/>
              </w:rPr>
              <w:t>本项目</w:t>
            </w:r>
            <w:r>
              <w:rPr>
                <w:rFonts w:hint="eastAsia" w:ascii="Times New Roman" w:hAnsi="Times New Roman"/>
                <w:color w:val="000000"/>
                <w:lang w:val="en-US"/>
              </w:rPr>
              <w:t>与</w:t>
            </w:r>
            <w:r>
              <w:rPr>
                <w:rFonts w:ascii="Times New Roman" w:hAnsi="Times New Roman"/>
                <w:color w:val="000000"/>
                <w:lang w:val="en-US"/>
              </w:rPr>
              <w:t>《</w:t>
            </w:r>
            <w:r>
              <w:rPr>
                <w:rFonts w:hint="eastAsia" w:ascii="Times New Roman" w:hAnsi="Times New Roman"/>
              </w:rPr>
              <w:t>河南省生态环境保护委员会办公室关于印发河南省</w:t>
            </w:r>
            <w:r>
              <w:rPr>
                <w:rFonts w:ascii="Times New Roman" w:hAnsi="Times New Roman"/>
              </w:rPr>
              <w:t>2022</w:t>
            </w:r>
            <w:r>
              <w:rPr>
                <w:rFonts w:hint="eastAsia" w:ascii="Times New Roman" w:hAnsi="Times New Roman"/>
              </w:rPr>
              <w:t>年大气、水、土壤污染防治攻坚战及农业农村污染治理攻坚战实施方案的通知</w:t>
            </w:r>
            <w:r>
              <w:rPr>
                <w:rFonts w:ascii="Times New Roman" w:hAnsi="Times New Roman"/>
                <w:color w:val="000000"/>
                <w:lang w:val="en-US"/>
              </w:rPr>
              <w:t>》（</w:t>
            </w:r>
            <w:r>
              <w:rPr>
                <w:rFonts w:hint="eastAsia" w:ascii="Times New Roman" w:hAnsi="Times New Roman"/>
              </w:rPr>
              <w:t>豫环委办</w:t>
            </w:r>
            <w:r>
              <w:rPr>
                <w:rFonts w:ascii="Times New Roman" w:hAnsi="Times New Roman"/>
                <w:color w:val="000000"/>
              </w:rPr>
              <w:t>〔2022〕</w:t>
            </w:r>
            <w:r>
              <w:rPr>
                <w:rFonts w:ascii="Times New Roman" w:hAnsi="Times New Roman"/>
              </w:rPr>
              <w:t>9</w:t>
            </w:r>
            <w:r>
              <w:rPr>
                <w:rFonts w:hint="eastAsia" w:ascii="Times New Roman" w:hAnsi="Times New Roman"/>
              </w:rPr>
              <w:t>号</w:t>
            </w:r>
            <w:r>
              <w:rPr>
                <w:rFonts w:ascii="Times New Roman" w:hAnsi="Times New Roman"/>
                <w:color w:val="000000"/>
                <w:lang w:val="en-US"/>
              </w:rPr>
              <w:t>）</w:t>
            </w:r>
            <w:r>
              <w:rPr>
                <w:rFonts w:hint="eastAsia" w:ascii="Times New Roman" w:hAnsi="Times New Roman"/>
                <w:color w:val="000000"/>
                <w:lang w:val="en-US"/>
              </w:rPr>
              <w:t>（以下简称《攻坚战实施方案》）对比分析</w:t>
            </w:r>
          </w:p>
          <w:p>
            <w:pPr>
              <w:adjustRightInd w:val="0"/>
              <w:snapToGrid w:val="0"/>
              <w:spacing w:line="460" w:lineRule="exact"/>
              <w:ind w:firstLine="480" w:firstLineChars="200"/>
              <w:textAlignment w:val="baseline"/>
              <w:outlineLvl w:val="0"/>
              <w:rPr>
                <w:rFonts w:eastAsia="黑体"/>
                <w:sz w:val="24"/>
              </w:rPr>
            </w:pPr>
            <w:r>
              <w:rPr>
                <w:rFonts w:eastAsia="黑体"/>
                <w:sz w:val="24"/>
              </w:rPr>
              <w:t xml:space="preserve">表6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与《攻坚战实施方案》对比表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51"/>
              <w:gridCol w:w="8195"/>
              <w:gridCol w:w="3854"/>
              <w:gridCol w:w="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046" w:type="dxa"/>
                  <w:gridSpan w:val="2"/>
                  <w:vAlign w:val="center"/>
                </w:tcPr>
                <w:p>
                  <w:pPr>
                    <w:adjustRightInd w:val="0"/>
                    <w:snapToGrid w:val="0"/>
                    <w:jc w:val="center"/>
                    <w:textAlignment w:val="baseline"/>
                    <w:outlineLvl w:val="0"/>
                    <w:rPr>
                      <w:b/>
                      <w:bCs/>
                      <w:szCs w:val="21"/>
                    </w:rPr>
                  </w:pPr>
                  <w:r>
                    <w:rPr>
                      <w:b/>
                      <w:bCs/>
                      <w:szCs w:val="21"/>
                    </w:rPr>
                    <w:t>与本项目相关条文</w:t>
                  </w:r>
                </w:p>
              </w:tc>
              <w:tc>
                <w:tcPr>
                  <w:tcW w:w="3854" w:type="dxa"/>
                  <w:vAlign w:val="center"/>
                </w:tcPr>
                <w:p>
                  <w:pPr>
                    <w:adjustRightInd w:val="0"/>
                    <w:snapToGrid w:val="0"/>
                    <w:jc w:val="center"/>
                    <w:textAlignment w:val="baseline"/>
                    <w:outlineLvl w:val="0"/>
                    <w:rPr>
                      <w:b/>
                      <w:bCs/>
                      <w:szCs w:val="21"/>
                    </w:rPr>
                  </w:pPr>
                  <w:r>
                    <w:rPr>
                      <w:b/>
                      <w:bCs/>
                      <w:szCs w:val="21"/>
                    </w:rPr>
                    <w:t>本项目情况</w:t>
                  </w:r>
                </w:p>
              </w:tc>
              <w:tc>
                <w:tcPr>
                  <w:tcW w:w="536" w:type="dxa"/>
                  <w:vAlign w:val="center"/>
                </w:tcPr>
                <w:p>
                  <w:pPr>
                    <w:adjustRightInd w:val="0"/>
                    <w:snapToGrid w:val="0"/>
                    <w:jc w:val="center"/>
                    <w:textAlignment w:val="baseline"/>
                    <w:outlineLvl w:val="0"/>
                    <w:rPr>
                      <w:b/>
                      <w:bCs/>
                      <w:szCs w:val="21"/>
                    </w:rPr>
                  </w:pPr>
                  <w:r>
                    <w:rPr>
                      <w:b/>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36" w:type="dxa"/>
                  <w:gridSpan w:val="4"/>
                  <w:vAlign w:val="center"/>
                </w:tcPr>
                <w:p>
                  <w:pPr>
                    <w:adjustRightInd w:val="0"/>
                    <w:snapToGrid w:val="0"/>
                    <w:jc w:val="center"/>
                    <w:textAlignment w:val="baseline"/>
                    <w:outlineLvl w:val="0"/>
                    <w:rPr>
                      <w:b/>
                      <w:bCs/>
                      <w:szCs w:val="21"/>
                    </w:rPr>
                  </w:pPr>
                  <w:r>
                    <w:rPr>
                      <w:rFonts w:hint="eastAsia"/>
                      <w:b/>
                      <w:szCs w:val="21"/>
                    </w:rPr>
                    <w:t>《河南省</w:t>
                  </w:r>
                  <w:r>
                    <w:rPr>
                      <w:b/>
                      <w:szCs w:val="21"/>
                    </w:rPr>
                    <w:t>2022</w:t>
                  </w:r>
                  <w:r>
                    <w:rPr>
                      <w:rFonts w:hint="eastAsia"/>
                      <w:b/>
                      <w:szCs w:val="21"/>
                    </w:rPr>
                    <w:t>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1" w:type="dxa"/>
                  <w:vAlign w:val="center"/>
                </w:tcPr>
                <w:p>
                  <w:pPr>
                    <w:adjustRightInd w:val="0"/>
                    <w:snapToGrid w:val="0"/>
                    <w:jc w:val="center"/>
                    <w:textAlignment w:val="baseline"/>
                    <w:outlineLvl w:val="0"/>
                    <w:rPr>
                      <w:szCs w:val="21"/>
                    </w:rPr>
                  </w:pPr>
                  <w:r>
                    <w:rPr>
                      <w:szCs w:val="21"/>
                    </w:rPr>
                    <w:t>3.推进绿色低碳产业发展</w:t>
                  </w:r>
                </w:p>
              </w:tc>
              <w:tc>
                <w:tcPr>
                  <w:tcW w:w="8195" w:type="dxa"/>
                  <w:vAlign w:val="center"/>
                </w:tcPr>
                <w:p>
                  <w:pPr>
                    <w:adjustRightInd w:val="0"/>
                    <w:snapToGrid w:val="0"/>
                    <w:textAlignment w:val="baseline"/>
                    <w:outlineLvl w:val="0"/>
                    <w:rPr>
                      <w:szCs w:val="21"/>
                    </w:rPr>
                  </w:pPr>
                  <w:r>
                    <w:rPr>
                      <w:szCs w:val="21"/>
                    </w:rPr>
                    <w:t>落实国家产业规划、产业政策、</w:t>
                  </w:r>
                  <w:r>
                    <w:rPr>
                      <w:rFonts w:hint="eastAsia"/>
                      <w:szCs w:val="21"/>
                    </w:rPr>
                    <w:t>“</w:t>
                  </w:r>
                  <w:r>
                    <w:rPr>
                      <w:szCs w:val="21"/>
                    </w:rPr>
                    <w:t>三线一单</w:t>
                  </w:r>
                  <w:r>
                    <w:rPr>
                      <w:rFonts w:hint="eastAsia"/>
                      <w:szCs w:val="21"/>
                    </w:rPr>
                    <w:t>”</w:t>
                  </w:r>
                  <w:r>
                    <w:rPr>
                      <w:szCs w:val="21"/>
                    </w:rPr>
                    <w:t>、规划环评</w:t>
                  </w:r>
                  <w:r>
                    <w:rPr>
                      <w:rFonts w:hint="eastAsia"/>
                      <w:szCs w:val="21"/>
                    </w:rPr>
                    <w:t>，</w:t>
                  </w:r>
                  <w:r>
                    <w:rPr>
                      <w:szCs w:val="21"/>
                    </w:rPr>
                    <w:t>以及产能置换、煤炭消费减量替代、区域污染物削减等相关要求</w:t>
                  </w:r>
                  <w:r>
                    <w:rPr>
                      <w:rFonts w:hint="eastAsia"/>
                      <w:szCs w:val="21"/>
                    </w:rPr>
                    <w:t>，</w:t>
                  </w:r>
                  <w:r>
                    <w:rPr>
                      <w:szCs w:val="21"/>
                    </w:rPr>
                    <w:t>积极支持节能环保、新能源等战略性新兴产业发展</w:t>
                  </w:r>
                  <w:r>
                    <w:rPr>
                      <w:rFonts w:hint="eastAsia"/>
                      <w:szCs w:val="21"/>
                    </w:rPr>
                    <w:t>，</w:t>
                  </w:r>
                  <w:r>
                    <w:rPr>
                      <w:szCs w:val="21"/>
                    </w:rPr>
                    <w:t>坚决遏制高耗能、高排放项目盲目建设。落实</w:t>
                  </w:r>
                  <w:r>
                    <w:rPr>
                      <w:rFonts w:hint="eastAsia"/>
                      <w:szCs w:val="21"/>
                    </w:rPr>
                    <w:t>“</w:t>
                  </w:r>
                  <w:r>
                    <w:rPr>
                      <w:szCs w:val="21"/>
                    </w:rPr>
                    <w:t>两高</w:t>
                  </w:r>
                  <w:r>
                    <w:rPr>
                      <w:rFonts w:hint="eastAsia"/>
                      <w:szCs w:val="21"/>
                    </w:rPr>
                    <w:t>”</w:t>
                  </w:r>
                  <w:r>
                    <w:rPr>
                      <w:szCs w:val="21"/>
                    </w:rPr>
                    <w:t>项目会商联审机制</w:t>
                  </w:r>
                  <w:r>
                    <w:rPr>
                      <w:rFonts w:hint="eastAsia"/>
                      <w:szCs w:val="21"/>
                    </w:rPr>
                    <w:t>，</w:t>
                  </w:r>
                  <w:r>
                    <w:rPr>
                      <w:szCs w:val="21"/>
                    </w:rPr>
                    <w:t>强化项目环评及</w:t>
                  </w:r>
                  <w:r>
                    <w:rPr>
                      <w:rFonts w:hint="eastAsia"/>
                      <w:szCs w:val="21"/>
                    </w:rPr>
                    <w:t>“</w:t>
                  </w:r>
                  <w:r>
                    <w:rPr>
                      <w:szCs w:val="21"/>
                    </w:rPr>
                    <w:t>三同时</w:t>
                  </w:r>
                  <w:r>
                    <w:rPr>
                      <w:rFonts w:hint="eastAsia"/>
                      <w:szCs w:val="21"/>
                    </w:rPr>
                    <w:t>”</w:t>
                  </w:r>
                  <w:r>
                    <w:rPr>
                      <w:szCs w:val="21"/>
                    </w:rPr>
                    <w:t>管理</w:t>
                  </w:r>
                  <w:r>
                    <w:rPr>
                      <w:rFonts w:hint="eastAsia"/>
                      <w:szCs w:val="21"/>
                    </w:rPr>
                    <w:t>，</w:t>
                  </w:r>
                  <w:r>
                    <w:rPr>
                      <w:szCs w:val="21"/>
                    </w:rPr>
                    <w:t>重点行业企业新建、扩建项目达到A级绩效水平</w:t>
                  </w:r>
                  <w:r>
                    <w:rPr>
                      <w:rFonts w:hint="eastAsia"/>
                      <w:szCs w:val="21"/>
                    </w:rPr>
                    <w:t>，</w:t>
                  </w:r>
                  <w:r>
                    <w:rPr>
                      <w:szCs w:val="21"/>
                    </w:rPr>
                    <w:t>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w:t>
                  </w:r>
                  <w:r>
                    <w:rPr>
                      <w:rFonts w:hint="eastAsia"/>
                      <w:szCs w:val="21"/>
                    </w:rPr>
                    <w:t>，</w:t>
                  </w:r>
                  <w:r>
                    <w:rPr>
                      <w:szCs w:val="21"/>
                    </w:rPr>
                    <w:t>大宗物料产品清洁运输。</w:t>
                  </w:r>
                </w:p>
              </w:tc>
              <w:tc>
                <w:tcPr>
                  <w:tcW w:w="3854" w:type="dxa"/>
                  <w:vAlign w:val="center"/>
                </w:tcPr>
                <w:p>
                  <w:pPr>
                    <w:adjustRightInd w:val="0"/>
                    <w:snapToGrid w:val="0"/>
                    <w:textAlignment w:val="baseline"/>
                    <w:outlineLvl w:val="0"/>
                    <w:rPr>
                      <w:color w:val="FF0000"/>
                      <w:szCs w:val="21"/>
                    </w:rPr>
                  </w:pPr>
                  <w:r>
                    <w:rPr>
                      <w:rFonts w:hint="eastAsia"/>
                      <w:szCs w:val="21"/>
                    </w:rPr>
                    <w:t>本项目为卫生材料及医药用品制造项目，属于医药制造业，位于新乡市获嘉县亢村镇产业新城纬八路2</w:t>
                  </w:r>
                  <w:r>
                    <w:rPr>
                      <w:szCs w:val="21"/>
                    </w:rPr>
                    <w:t>号。项目满足</w:t>
                  </w:r>
                  <w:r>
                    <w:rPr>
                      <w:rFonts w:hint="eastAsia"/>
                      <w:szCs w:val="21"/>
                    </w:rPr>
                    <w:t>“</w:t>
                  </w:r>
                  <w:r>
                    <w:rPr>
                      <w:szCs w:val="21"/>
                    </w:rPr>
                    <w:t>三线一单</w:t>
                  </w:r>
                  <w:r>
                    <w:rPr>
                      <w:rFonts w:hint="eastAsia"/>
                      <w:szCs w:val="21"/>
                    </w:rPr>
                    <w:t>”</w:t>
                  </w:r>
                  <w:r>
                    <w:rPr>
                      <w:szCs w:val="21"/>
                    </w:rPr>
                    <w:t>生态环境分区管控要求，不属于高耗能、高排放项目</w:t>
                  </w:r>
                  <w:r>
                    <w:rPr>
                      <w:rFonts w:hint="eastAsia"/>
                      <w:szCs w:val="21"/>
                    </w:rPr>
                    <w:t>。</w:t>
                  </w:r>
                  <w:r>
                    <w:rPr>
                      <w:szCs w:val="21"/>
                    </w:rPr>
                    <w:t>本项目</w:t>
                  </w:r>
                  <w:r>
                    <w:rPr>
                      <w:rFonts w:hint="eastAsia"/>
                      <w:szCs w:val="21"/>
                    </w:rPr>
                    <w:t>为扩建项目，</w:t>
                  </w:r>
                  <w:r>
                    <w:rPr>
                      <w:rFonts w:hint="eastAsia"/>
                      <w:bCs/>
                      <w:szCs w:val="21"/>
                    </w:rPr>
                    <w:t>将严格按照要求进行环评及</w:t>
                  </w:r>
                  <w:r>
                    <w:rPr>
                      <w:rFonts w:hint="eastAsia"/>
                      <w:szCs w:val="21"/>
                    </w:rPr>
                    <w:t>“</w:t>
                  </w:r>
                  <w:r>
                    <w:rPr>
                      <w:szCs w:val="21"/>
                    </w:rPr>
                    <w:t>三同时</w:t>
                  </w:r>
                  <w:r>
                    <w:rPr>
                      <w:rFonts w:hint="eastAsia"/>
                      <w:szCs w:val="21"/>
                    </w:rPr>
                    <w:t>”</w:t>
                  </w:r>
                  <w:r>
                    <w:rPr>
                      <w:rFonts w:hint="eastAsia"/>
                      <w:bCs/>
                      <w:szCs w:val="21"/>
                    </w:rPr>
                    <w:t>建设，将按国家、省绩效分级A级要求进行建设。</w:t>
                  </w:r>
                </w:p>
              </w:tc>
              <w:tc>
                <w:tcPr>
                  <w:tcW w:w="536" w:type="dxa"/>
                  <w:vAlign w:val="center"/>
                </w:tcPr>
                <w:p>
                  <w:pPr>
                    <w:adjustRightInd w:val="0"/>
                    <w:snapToGrid w:val="0"/>
                    <w:jc w:val="center"/>
                    <w:textAlignment w:val="baseline"/>
                    <w:outlineLvl w:val="0"/>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1" w:type="dxa"/>
                  <w:vAlign w:val="center"/>
                </w:tcPr>
                <w:p>
                  <w:pPr>
                    <w:adjustRightInd w:val="0"/>
                    <w:snapToGrid w:val="0"/>
                    <w:jc w:val="center"/>
                    <w:textAlignment w:val="baseline"/>
                    <w:outlineLvl w:val="0"/>
                    <w:rPr>
                      <w:szCs w:val="21"/>
                    </w:rPr>
                  </w:pPr>
                  <w:r>
                    <w:rPr>
                      <w:szCs w:val="21"/>
                    </w:rPr>
                    <w:t>27.强化VOCs日常监管</w:t>
                  </w:r>
                </w:p>
              </w:tc>
              <w:tc>
                <w:tcPr>
                  <w:tcW w:w="8195" w:type="dxa"/>
                  <w:vAlign w:val="center"/>
                </w:tcPr>
                <w:p>
                  <w:pPr>
                    <w:adjustRightInd w:val="0"/>
                    <w:snapToGrid w:val="0"/>
                    <w:textAlignment w:val="baseline"/>
                    <w:outlineLvl w:val="0"/>
                    <w:rPr>
                      <w:szCs w:val="21"/>
                    </w:rPr>
                  </w:pPr>
                  <w:r>
                    <w:rPr>
                      <w:szCs w:val="21"/>
                    </w:rPr>
                    <w:t>加强臭氧污染天气下的挥发性有机物排放管理</w:t>
                  </w:r>
                  <w:r>
                    <w:rPr>
                      <w:rFonts w:hint="eastAsia"/>
                      <w:szCs w:val="21"/>
                    </w:rPr>
                    <w:t>，</w:t>
                  </w:r>
                  <w:r>
                    <w:rPr>
                      <w:szCs w:val="21"/>
                    </w:rPr>
                    <w:t>指导涉VOCs污染物排放企业妥善安排生产计划</w:t>
                  </w:r>
                  <w:r>
                    <w:rPr>
                      <w:rFonts w:hint="eastAsia"/>
                      <w:szCs w:val="21"/>
                    </w:rPr>
                    <w:t>，</w:t>
                  </w:r>
                  <w:r>
                    <w:rPr>
                      <w:szCs w:val="21"/>
                    </w:rPr>
                    <w:t>在夏季减少开停车、放空、开釜等操作。涉VOCs防腐、防水、防锈等涂装作业及大中型装修、外立面改造、道路划线、沥青铺设等施工作业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钢铁、焦化、医药、石化、化工等重点行业企业应提前向当地生态环境部门报告开停车、检维修计划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3854" w:type="dxa"/>
                  <w:vAlign w:val="center"/>
                </w:tcPr>
                <w:p>
                  <w:pPr>
                    <w:adjustRightInd w:val="0"/>
                    <w:snapToGrid w:val="0"/>
                    <w:textAlignment w:val="baseline"/>
                    <w:outlineLvl w:val="0"/>
                    <w:rPr>
                      <w:szCs w:val="21"/>
                    </w:rPr>
                  </w:pPr>
                  <w:r>
                    <w:rPr>
                      <w:rFonts w:hint="eastAsia"/>
                      <w:szCs w:val="21"/>
                    </w:rPr>
                    <w:t>本项目为卫生材料及医药用品制造项目，属于医药制造业，生产过程中会产生少量废气污染物V</w:t>
                  </w:r>
                  <w:r>
                    <w:rPr>
                      <w:szCs w:val="21"/>
                    </w:rPr>
                    <w:t>OCs</w:t>
                  </w:r>
                  <w:r>
                    <w:rPr>
                      <w:rFonts w:hint="eastAsia"/>
                      <w:szCs w:val="21"/>
                    </w:rPr>
                    <w:t>（环氧乙烷，以非甲烷总烃计），本项目将严格按照重点行业绩效分级A级及以上的要求进行建设。</w:t>
                  </w:r>
                </w:p>
              </w:tc>
              <w:tc>
                <w:tcPr>
                  <w:tcW w:w="536" w:type="dxa"/>
                  <w:vAlign w:val="center"/>
                </w:tcPr>
                <w:p>
                  <w:pPr>
                    <w:adjustRightInd w:val="0"/>
                    <w:snapToGrid w:val="0"/>
                    <w:jc w:val="center"/>
                    <w:textAlignment w:val="baseline"/>
                    <w:outlineLvl w:val="0"/>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36" w:type="dxa"/>
                  <w:gridSpan w:val="4"/>
                  <w:vAlign w:val="center"/>
                </w:tcPr>
                <w:p>
                  <w:pPr>
                    <w:adjustRightInd w:val="0"/>
                    <w:snapToGrid w:val="0"/>
                    <w:jc w:val="center"/>
                    <w:textAlignment w:val="baseline"/>
                    <w:outlineLvl w:val="0"/>
                    <w:rPr>
                      <w:szCs w:val="21"/>
                    </w:rPr>
                  </w:pPr>
                  <w:r>
                    <w:rPr>
                      <w:rFonts w:hint="eastAsia"/>
                      <w:b/>
                      <w:szCs w:val="21"/>
                    </w:rPr>
                    <w:t>《河南省</w:t>
                  </w:r>
                  <w:r>
                    <w:rPr>
                      <w:b/>
                      <w:szCs w:val="21"/>
                    </w:rPr>
                    <w:t>2022</w:t>
                  </w:r>
                  <w:r>
                    <w:rPr>
                      <w:rFonts w:hint="eastAsia"/>
                      <w:b/>
                      <w:szCs w:val="21"/>
                    </w:rPr>
                    <w:t>年水污染防治攻坚战实施方案》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1" w:type="dxa"/>
                  <w:vAlign w:val="center"/>
                </w:tcPr>
                <w:p>
                  <w:pPr>
                    <w:adjustRightInd w:val="0"/>
                    <w:snapToGrid w:val="0"/>
                    <w:jc w:val="center"/>
                    <w:textAlignment w:val="baseline"/>
                    <w:outlineLvl w:val="0"/>
                    <w:rPr>
                      <w:szCs w:val="21"/>
                    </w:rPr>
                  </w:pPr>
                  <w:r>
                    <w:rPr>
                      <w:szCs w:val="21"/>
                    </w:rPr>
                    <w:t>14.</w:t>
                  </w:r>
                  <w:r>
                    <w:rPr>
                      <w:rFonts w:hint="eastAsia"/>
                      <w:szCs w:val="21"/>
                    </w:rPr>
                    <w:t>调整优化产业结构</w:t>
                  </w:r>
                </w:p>
              </w:tc>
              <w:tc>
                <w:tcPr>
                  <w:tcW w:w="8195" w:type="dxa"/>
                  <w:vAlign w:val="center"/>
                </w:tcPr>
                <w:p>
                  <w:pPr>
                    <w:adjustRightInd w:val="0"/>
                    <w:snapToGrid w:val="0"/>
                    <w:textAlignment w:val="baseline"/>
                    <w:outlineLvl w:val="0"/>
                    <w:rPr>
                      <w:szCs w:val="21"/>
                    </w:rPr>
                  </w:pPr>
                  <w:r>
                    <w:rPr>
                      <w:szCs w:val="21"/>
                    </w:rPr>
                    <w:t>落实</w:t>
                  </w:r>
                  <w:r>
                    <w:rPr>
                      <w:rFonts w:hint="eastAsia"/>
                      <w:szCs w:val="21"/>
                    </w:rPr>
                    <w:t>“</w:t>
                  </w:r>
                  <w:r>
                    <w:rPr>
                      <w:szCs w:val="21"/>
                    </w:rPr>
                    <w:t>三线一单</w:t>
                  </w:r>
                  <w:r>
                    <w:rPr>
                      <w:rFonts w:hint="eastAsia"/>
                      <w:szCs w:val="21"/>
                    </w:rPr>
                    <w:t>”</w:t>
                  </w:r>
                  <w:r>
                    <w:rPr>
                      <w:szCs w:val="21"/>
                    </w:rPr>
                    <w:t>生态环境分区管控体系</w:t>
                  </w:r>
                  <w:r>
                    <w:rPr>
                      <w:rFonts w:hint="eastAsia"/>
                      <w:szCs w:val="21"/>
                    </w:rPr>
                    <w:t>，</w:t>
                  </w:r>
                  <w:r>
                    <w:rPr>
                      <w:szCs w:val="21"/>
                    </w:rPr>
                    <w:t>加强重点区域、重点流域、重点行业和产业布局规划环评。持续推进钢铁、有色、石化、化工、电镀、皮革、造纸、印染、农副食品加工等行业改造转型升级</w:t>
                  </w:r>
                  <w:r>
                    <w:rPr>
                      <w:rFonts w:hint="eastAsia"/>
                      <w:szCs w:val="21"/>
                    </w:rPr>
                    <w:t>，</w:t>
                  </w:r>
                  <w:r>
                    <w:rPr>
                      <w:szCs w:val="21"/>
                    </w:rPr>
                    <w:t>推动化工、印染、电镀等产业集群提升改造。推动重点行业、重点区域产业布局调整</w:t>
                  </w:r>
                  <w:r>
                    <w:rPr>
                      <w:rFonts w:hint="eastAsia"/>
                      <w:szCs w:val="21"/>
                    </w:rPr>
                    <w:t>，</w:t>
                  </w:r>
                  <w:r>
                    <w:rPr>
                      <w:szCs w:val="21"/>
                    </w:rPr>
                    <w:t>实施传统产业兼并重组、城市建成区高污染企业退城入园和敏感区域、水污染严重地区高污染企业布局优化</w:t>
                  </w:r>
                  <w:r>
                    <w:rPr>
                      <w:rFonts w:hint="eastAsia"/>
                      <w:szCs w:val="21"/>
                    </w:rPr>
                    <w:t>，</w:t>
                  </w:r>
                  <w:r>
                    <w:rPr>
                      <w:szCs w:val="21"/>
                    </w:rPr>
                    <w:t>制定实施落后产能淘汰方案。严禁在黄河干流及主要支流临岸一定范围内新建</w:t>
                  </w:r>
                  <w:r>
                    <w:rPr>
                      <w:rFonts w:hint="eastAsia"/>
                      <w:szCs w:val="21"/>
                    </w:rPr>
                    <w:t>“</w:t>
                  </w:r>
                  <w:r>
                    <w:rPr>
                      <w:szCs w:val="21"/>
                    </w:rPr>
                    <w:t>两高一资</w:t>
                  </w:r>
                  <w:r>
                    <w:rPr>
                      <w:rFonts w:hint="eastAsia"/>
                      <w:szCs w:val="21"/>
                    </w:rPr>
                    <w:t>”</w:t>
                  </w:r>
                  <w:r>
                    <w:rPr>
                      <w:szCs w:val="21"/>
                    </w:rPr>
                    <w:t>项目及相关产业园区。</w:t>
                  </w:r>
                </w:p>
              </w:tc>
              <w:tc>
                <w:tcPr>
                  <w:tcW w:w="3854" w:type="dxa"/>
                  <w:vAlign w:val="center"/>
                </w:tcPr>
                <w:p>
                  <w:pPr>
                    <w:adjustRightInd w:val="0"/>
                    <w:snapToGrid w:val="0"/>
                    <w:textAlignment w:val="baseline"/>
                    <w:outlineLvl w:val="0"/>
                    <w:rPr>
                      <w:szCs w:val="21"/>
                    </w:rPr>
                  </w:pPr>
                  <w:r>
                    <w:rPr>
                      <w:rFonts w:hint="eastAsia"/>
                      <w:szCs w:val="21"/>
                    </w:rPr>
                    <w:t>本项目为卫生材料及医药用品制造项目，属于医药制造业，位于新乡市获嘉县亢村镇产业新城纬八路2</w:t>
                  </w:r>
                  <w:r>
                    <w:rPr>
                      <w:szCs w:val="21"/>
                    </w:rPr>
                    <w:t>号。</w:t>
                  </w:r>
                  <w:r>
                    <w:rPr>
                      <w:rFonts w:hint="eastAsia"/>
                      <w:szCs w:val="21"/>
                    </w:rPr>
                    <w:t>项目</w:t>
                  </w:r>
                  <w:r>
                    <w:rPr>
                      <w:szCs w:val="21"/>
                    </w:rPr>
                    <w:t>满足</w:t>
                  </w:r>
                  <w:r>
                    <w:rPr>
                      <w:rFonts w:hint="eastAsia"/>
                      <w:szCs w:val="21"/>
                    </w:rPr>
                    <w:t>“</w:t>
                  </w:r>
                  <w:r>
                    <w:rPr>
                      <w:szCs w:val="21"/>
                    </w:rPr>
                    <w:t>三线一单</w:t>
                  </w:r>
                  <w:r>
                    <w:rPr>
                      <w:rFonts w:hint="eastAsia"/>
                      <w:szCs w:val="21"/>
                    </w:rPr>
                    <w:t>”</w:t>
                  </w:r>
                  <w:r>
                    <w:rPr>
                      <w:szCs w:val="21"/>
                    </w:rPr>
                    <w:t>生态环境分区管控要求</w:t>
                  </w:r>
                  <w:r>
                    <w:rPr>
                      <w:rFonts w:hint="eastAsia"/>
                      <w:szCs w:val="21"/>
                    </w:rPr>
                    <w:t>，</w:t>
                  </w:r>
                  <w:r>
                    <w:rPr>
                      <w:szCs w:val="21"/>
                    </w:rPr>
                    <w:t>不属于高耗水、高排放工业项目。</w:t>
                  </w:r>
                </w:p>
              </w:tc>
              <w:tc>
                <w:tcPr>
                  <w:tcW w:w="536" w:type="dxa"/>
                  <w:vAlign w:val="center"/>
                </w:tcPr>
                <w:p>
                  <w:pPr>
                    <w:adjustRightInd w:val="0"/>
                    <w:snapToGrid w:val="0"/>
                    <w:jc w:val="center"/>
                    <w:textAlignment w:val="baseline"/>
                    <w:outlineLvl w:val="0"/>
                    <w:rPr>
                      <w:szCs w:val="21"/>
                    </w:rPr>
                  </w:pPr>
                  <w:r>
                    <w:rPr>
                      <w:szCs w:val="21"/>
                    </w:rPr>
                    <w:t>符合</w:t>
                  </w:r>
                </w:p>
              </w:tc>
            </w:tr>
          </w:tbl>
          <w:p>
            <w:pPr>
              <w:pStyle w:val="14"/>
              <w:snapToGrid w:val="0"/>
              <w:spacing w:before="0" w:beforeAutospacing="0" w:after="0" w:afterAutospacing="0" w:line="460" w:lineRule="exact"/>
              <w:ind w:firstLine="480" w:firstLineChars="200"/>
              <w:jc w:val="both"/>
              <w:outlineLvl w:val="0"/>
              <w:rPr>
                <w:rFonts w:ascii="黑体" w:hAnsi="黑体" w:eastAsia="黑体"/>
                <w:snapToGrid w:val="0"/>
                <w:sz w:val="30"/>
                <w:szCs w:val="30"/>
                <w:lang w:val="en-US"/>
              </w:rPr>
            </w:pPr>
            <w:r>
              <w:rPr>
                <w:rFonts w:ascii="Times New Roman" w:hAnsi="Times New Roman"/>
                <w:lang w:val="en-US"/>
              </w:rPr>
              <w:t>由上表可知，本项目符合《攻坚战实施方案》相关要求。</w:t>
            </w:r>
          </w:p>
          <w:p>
            <w:pPr>
              <w:pStyle w:val="14"/>
              <w:snapToGrid w:val="0"/>
              <w:spacing w:before="0" w:beforeAutospacing="0" w:after="0" w:afterAutospacing="0" w:line="460" w:lineRule="exact"/>
              <w:ind w:firstLine="480" w:firstLineChars="200"/>
              <w:outlineLvl w:val="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w:t>
            </w:r>
            <w:r>
              <w:rPr>
                <w:rFonts w:ascii="Times New Roman" w:hAnsi="Times New Roman"/>
                <w:color w:val="000000"/>
              </w:rPr>
              <w:t>本项目</w:t>
            </w:r>
            <w:r>
              <w:rPr>
                <w:rFonts w:hint="eastAsia" w:ascii="Times New Roman" w:hAnsi="Times New Roman"/>
                <w:color w:val="000000"/>
              </w:rPr>
              <w:t>与</w:t>
            </w:r>
            <w:r>
              <w:rPr>
                <w:rFonts w:ascii="Times New Roman" w:hAnsi="Times New Roman"/>
                <w:color w:val="000000"/>
              </w:rPr>
              <w:t>《</w:t>
            </w:r>
            <w:r>
              <w:rPr>
                <w:rFonts w:hint="eastAsia" w:ascii="Times New Roman" w:hAnsi="Times New Roman"/>
                <w:color w:val="000000"/>
              </w:rPr>
              <w:t>新乡市环境污染防治攻坚指挥部</w:t>
            </w:r>
            <w:r>
              <w:rPr>
                <w:rFonts w:ascii="Times New Roman" w:hAnsi="Times New Roman"/>
                <w:color w:val="000000"/>
              </w:rPr>
              <w:t>办公室关于印发</w:t>
            </w:r>
            <w:r>
              <w:rPr>
                <w:rFonts w:hint="eastAsia" w:ascii="Times New Roman" w:hAnsi="Times New Roman"/>
                <w:color w:val="000000"/>
              </w:rPr>
              <w:t>新乡市2</w:t>
            </w:r>
            <w:r>
              <w:rPr>
                <w:rFonts w:ascii="Times New Roman" w:hAnsi="Times New Roman"/>
                <w:color w:val="000000"/>
              </w:rPr>
              <w:t>022年大气、水、土壤污染防治攻坚战及农业农村污染治理攻坚实施方案的通知》（</w:t>
            </w:r>
            <w:r>
              <w:rPr>
                <w:rFonts w:hint="eastAsia" w:ascii="Times New Roman" w:hAnsi="Times New Roman"/>
                <w:color w:val="000000"/>
              </w:rPr>
              <w:t>新环攻坚办</w:t>
            </w:r>
            <w:r>
              <w:rPr>
                <w:rFonts w:ascii="Times New Roman" w:hAnsi="Times New Roman"/>
                <w:color w:val="000000"/>
              </w:rPr>
              <w:t>〔2022〕60号）</w:t>
            </w:r>
            <w:r>
              <w:rPr>
                <w:rFonts w:hint="eastAsia" w:ascii="Times New Roman" w:hAnsi="Times New Roman"/>
                <w:color w:val="000000"/>
              </w:rPr>
              <w:t>（以下简称《攻坚战实施方案》）对比分析</w:t>
            </w:r>
          </w:p>
          <w:p>
            <w:pPr>
              <w:adjustRightInd w:val="0"/>
              <w:snapToGrid w:val="0"/>
              <w:spacing w:line="460" w:lineRule="exact"/>
              <w:ind w:firstLine="480" w:firstLineChars="200"/>
              <w:textAlignment w:val="baseline"/>
              <w:outlineLvl w:val="0"/>
              <w:rPr>
                <w:rFonts w:eastAsia="黑体"/>
                <w:sz w:val="24"/>
              </w:rPr>
            </w:pPr>
            <w:r>
              <w:rPr>
                <w:rFonts w:eastAsia="黑体"/>
                <w:sz w:val="24"/>
              </w:rPr>
              <w:t xml:space="preserve">表7                     </w:t>
            </w:r>
            <w:r>
              <w:rPr>
                <w:rFonts w:hint="eastAsia" w:eastAsia="黑体"/>
                <w:sz w:val="24"/>
              </w:rPr>
              <w:t xml:space="preserve">   </w:t>
            </w:r>
            <w:r>
              <w:rPr>
                <w:rFonts w:eastAsia="黑体"/>
                <w:sz w:val="24"/>
              </w:rPr>
              <w:t xml:space="preserve">   </w:t>
            </w:r>
            <w:r>
              <w:rPr>
                <w:rFonts w:hint="eastAsia" w:eastAsia="黑体"/>
                <w:sz w:val="24"/>
              </w:rPr>
              <w:t xml:space="preserve">   </w:t>
            </w:r>
            <w:r>
              <w:rPr>
                <w:rFonts w:eastAsia="黑体"/>
                <w:sz w:val="24"/>
              </w:rPr>
              <w:t xml:space="preserve">      与《攻坚战实施方案》对比表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51"/>
              <w:gridCol w:w="8080"/>
              <w:gridCol w:w="3969"/>
              <w:gridCol w:w="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1" w:type="dxa"/>
                  <w:gridSpan w:val="2"/>
                  <w:tcMar>
                    <w:left w:w="28" w:type="dxa"/>
                    <w:right w:w="28" w:type="dxa"/>
                  </w:tcMar>
                  <w:vAlign w:val="center"/>
                </w:tcPr>
                <w:p>
                  <w:pPr>
                    <w:adjustRightInd w:val="0"/>
                    <w:snapToGrid w:val="0"/>
                    <w:jc w:val="center"/>
                    <w:textAlignment w:val="baseline"/>
                    <w:outlineLvl w:val="0"/>
                    <w:rPr>
                      <w:b/>
                      <w:bCs/>
                      <w:szCs w:val="21"/>
                    </w:rPr>
                  </w:pPr>
                  <w:r>
                    <w:rPr>
                      <w:b/>
                      <w:bCs/>
                      <w:szCs w:val="21"/>
                    </w:rPr>
                    <w:t>与本项目相关条文</w:t>
                  </w:r>
                </w:p>
              </w:tc>
              <w:tc>
                <w:tcPr>
                  <w:tcW w:w="3969" w:type="dxa"/>
                  <w:tcMar>
                    <w:left w:w="28" w:type="dxa"/>
                    <w:right w:w="28" w:type="dxa"/>
                  </w:tcMar>
                  <w:vAlign w:val="center"/>
                </w:tcPr>
                <w:p>
                  <w:pPr>
                    <w:adjustRightInd w:val="0"/>
                    <w:snapToGrid w:val="0"/>
                    <w:jc w:val="center"/>
                    <w:textAlignment w:val="baseline"/>
                    <w:outlineLvl w:val="0"/>
                    <w:rPr>
                      <w:b/>
                      <w:bCs/>
                      <w:szCs w:val="21"/>
                    </w:rPr>
                  </w:pPr>
                  <w:r>
                    <w:rPr>
                      <w:b/>
                      <w:bCs/>
                      <w:szCs w:val="21"/>
                    </w:rPr>
                    <w:t>本项目情况</w:t>
                  </w:r>
                </w:p>
              </w:tc>
              <w:tc>
                <w:tcPr>
                  <w:tcW w:w="536" w:type="dxa"/>
                  <w:tcMar>
                    <w:left w:w="28" w:type="dxa"/>
                    <w:right w:w="28" w:type="dxa"/>
                  </w:tcMar>
                  <w:vAlign w:val="center"/>
                </w:tcPr>
                <w:p>
                  <w:pPr>
                    <w:adjustRightInd w:val="0"/>
                    <w:snapToGrid w:val="0"/>
                    <w:jc w:val="center"/>
                    <w:textAlignment w:val="baseline"/>
                    <w:outlineLvl w:val="0"/>
                    <w:rPr>
                      <w:b/>
                      <w:bCs/>
                      <w:szCs w:val="21"/>
                    </w:rPr>
                  </w:pPr>
                  <w:r>
                    <w:rPr>
                      <w:b/>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436" w:type="dxa"/>
                  <w:gridSpan w:val="4"/>
                  <w:tcMar>
                    <w:left w:w="28" w:type="dxa"/>
                    <w:right w:w="28" w:type="dxa"/>
                  </w:tcMar>
                  <w:vAlign w:val="center"/>
                </w:tcPr>
                <w:p>
                  <w:pPr>
                    <w:adjustRightInd w:val="0"/>
                    <w:snapToGrid w:val="0"/>
                    <w:jc w:val="center"/>
                    <w:textAlignment w:val="baseline"/>
                    <w:outlineLvl w:val="0"/>
                    <w:rPr>
                      <w:b/>
                      <w:bCs/>
                      <w:szCs w:val="21"/>
                    </w:rPr>
                  </w:pPr>
                  <w:r>
                    <w:rPr>
                      <w:b/>
                      <w:szCs w:val="21"/>
                    </w:rPr>
                    <w:t>《</w:t>
                  </w:r>
                  <w:r>
                    <w:rPr>
                      <w:rFonts w:hint="eastAsia"/>
                      <w:b/>
                      <w:szCs w:val="21"/>
                    </w:rPr>
                    <w:t>新乡市2</w:t>
                  </w:r>
                  <w:r>
                    <w:rPr>
                      <w:b/>
                      <w:szCs w:val="21"/>
                    </w:rPr>
                    <w:t>022年大气污染防治攻坚战实施方案》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1" w:type="dxa"/>
                  <w:tcMar>
                    <w:left w:w="28" w:type="dxa"/>
                    <w:right w:w="28" w:type="dxa"/>
                  </w:tcMar>
                  <w:vAlign w:val="center"/>
                </w:tcPr>
                <w:p>
                  <w:pPr>
                    <w:adjustRightInd w:val="0"/>
                    <w:snapToGrid w:val="0"/>
                    <w:jc w:val="center"/>
                    <w:textAlignment w:val="baseline"/>
                    <w:outlineLvl w:val="0"/>
                    <w:rPr>
                      <w:szCs w:val="21"/>
                    </w:rPr>
                  </w:pPr>
                  <w:r>
                    <w:rPr>
                      <w:szCs w:val="21"/>
                    </w:rPr>
                    <w:t>3.</w:t>
                  </w:r>
                  <w:r>
                    <w:rPr>
                      <w:rFonts w:hint="eastAsia"/>
                      <w:szCs w:val="21"/>
                    </w:rPr>
                    <w:t>严格项目准入，</w:t>
                  </w:r>
                  <w:r>
                    <w:rPr>
                      <w:szCs w:val="21"/>
                    </w:rPr>
                    <w:t>推进绿色低碳产业发展</w:t>
                  </w:r>
                </w:p>
              </w:tc>
              <w:tc>
                <w:tcPr>
                  <w:tcW w:w="8080" w:type="dxa"/>
                  <w:tcMar>
                    <w:left w:w="28" w:type="dxa"/>
                    <w:right w:w="28" w:type="dxa"/>
                  </w:tcMar>
                  <w:vAlign w:val="center"/>
                </w:tcPr>
                <w:p>
                  <w:pPr>
                    <w:adjustRightInd w:val="0"/>
                    <w:snapToGrid w:val="0"/>
                    <w:textAlignment w:val="baseline"/>
                    <w:outlineLvl w:val="0"/>
                    <w:rPr>
                      <w:szCs w:val="21"/>
                    </w:rPr>
                  </w:pPr>
                  <w:r>
                    <w:rPr>
                      <w:rFonts w:hint="eastAsia"/>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A级绩效水平，改建项目达到B级以上绩效水平。</w:t>
                  </w:r>
                </w:p>
              </w:tc>
              <w:tc>
                <w:tcPr>
                  <w:tcW w:w="3969" w:type="dxa"/>
                  <w:tcMar>
                    <w:left w:w="28" w:type="dxa"/>
                    <w:right w:w="28" w:type="dxa"/>
                  </w:tcMar>
                  <w:vAlign w:val="center"/>
                </w:tcPr>
                <w:p>
                  <w:pPr>
                    <w:adjustRightInd w:val="0"/>
                    <w:snapToGrid w:val="0"/>
                    <w:textAlignment w:val="baseline"/>
                    <w:outlineLvl w:val="0"/>
                    <w:rPr>
                      <w:szCs w:val="21"/>
                    </w:rPr>
                  </w:pPr>
                  <w:r>
                    <w:rPr>
                      <w:szCs w:val="21"/>
                    </w:rPr>
                    <w:t>本项目</w:t>
                  </w:r>
                  <w:r>
                    <w:rPr>
                      <w:rFonts w:hint="eastAsia"/>
                      <w:szCs w:val="21"/>
                    </w:rPr>
                    <w:t>为扩建项目，为卫生材料及医药用品制造项目，属于医药制造业</w:t>
                  </w:r>
                  <w:r>
                    <w:rPr>
                      <w:szCs w:val="21"/>
                    </w:rPr>
                    <w:t>，</w:t>
                  </w:r>
                  <w:r>
                    <w:rPr>
                      <w:rFonts w:hint="eastAsia"/>
                      <w:szCs w:val="21"/>
                    </w:rPr>
                    <w:t>位于新乡市获嘉县亢村镇产业新城纬八路2</w:t>
                  </w:r>
                  <w:r>
                    <w:rPr>
                      <w:szCs w:val="21"/>
                    </w:rPr>
                    <w:t>号。项目满足</w:t>
                  </w:r>
                  <w:r>
                    <w:rPr>
                      <w:rFonts w:hint="eastAsia"/>
                      <w:szCs w:val="21"/>
                    </w:rPr>
                    <w:t>国家产业规划、产业政策、“三线一单”、规划环评、区域污染物削减等要求</w:t>
                  </w:r>
                  <w:r>
                    <w:rPr>
                      <w:szCs w:val="21"/>
                    </w:rPr>
                    <w:t>，不属于</w:t>
                  </w:r>
                  <w:r>
                    <w:rPr>
                      <w:rFonts w:hint="eastAsia"/>
                      <w:szCs w:val="21"/>
                    </w:rPr>
                    <w:t>“两高”</w:t>
                  </w:r>
                  <w:r>
                    <w:rPr>
                      <w:szCs w:val="21"/>
                    </w:rPr>
                    <w:t>项目，本项目</w:t>
                  </w:r>
                  <w:r>
                    <w:rPr>
                      <w:rFonts w:hint="eastAsia"/>
                      <w:szCs w:val="21"/>
                    </w:rPr>
                    <w:t>将严格按照要求进行环评及“</w:t>
                  </w:r>
                  <w:r>
                    <w:rPr>
                      <w:szCs w:val="21"/>
                    </w:rPr>
                    <w:t>三同时</w:t>
                  </w:r>
                  <w:r>
                    <w:rPr>
                      <w:rFonts w:hint="eastAsia"/>
                      <w:szCs w:val="21"/>
                    </w:rPr>
                    <w:t>”建设，</w:t>
                  </w:r>
                  <w:r>
                    <w:rPr>
                      <w:rFonts w:hint="eastAsia"/>
                      <w:bCs/>
                      <w:szCs w:val="21"/>
                    </w:rPr>
                    <w:t>将严格按照要求进行环评及</w:t>
                  </w:r>
                  <w:r>
                    <w:rPr>
                      <w:rFonts w:hint="eastAsia"/>
                      <w:szCs w:val="21"/>
                    </w:rPr>
                    <w:t>“</w:t>
                  </w:r>
                  <w:r>
                    <w:rPr>
                      <w:szCs w:val="21"/>
                    </w:rPr>
                    <w:t>三同时</w:t>
                  </w:r>
                  <w:r>
                    <w:rPr>
                      <w:rFonts w:hint="eastAsia"/>
                      <w:szCs w:val="21"/>
                    </w:rPr>
                    <w:t>”</w:t>
                  </w:r>
                  <w:r>
                    <w:rPr>
                      <w:rFonts w:hint="eastAsia"/>
                      <w:bCs/>
                      <w:szCs w:val="21"/>
                    </w:rPr>
                    <w:t>建设，将按国家、省绩效分级A级要求进行建设</w:t>
                  </w:r>
                  <w:r>
                    <w:rPr>
                      <w:rFonts w:hint="eastAsia"/>
                      <w:szCs w:val="21"/>
                    </w:rPr>
                    <w:t>。</w:t>
                  </w:r>
                </w:p>
              </w:tc>
              <w:tc>
                <w:tcPr>
                  <w:tcW w:w="536" w:type="dxa"/>
                  <w:tcMar>
                    <w:left w:w="28" w:type="dxa"/>
                    <w:right w:w="28" w:type="dxa"/>
                  </w:tcMar>
                  <w:vAlign w:val="center"/>
                </w:tcPr>
                <w:p>
                  <w:pPr>
                    <w:adjustRightInd w:val="0"/>
                    <w:snapToGrid w:val="0"/>
                    <w:jc w:val="center"/>
                    <w:textAlignment w:val="baseline"/>
                    <w:outlineLvl w:val="0"/>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1" w:type="dxa"/>
                  <w:tcMar>
                    <w:left w:w="28" w:type="dxa"/>
                    <w:right w:w="28" w:type="dxa"/>
                  </w:tcMar>
                  <w:vAlign w:val="center"/>
                </w:tcPr>
                <w:p>
                  <w:pPr>
                    <w:adjustRightInd w:val="0"/>
                    <w:snapToGrid w:val="0"/>
                    <w:jc w:val="center"/>
                    <w:textAlignment w:val="baseline"/>
                    <w:outlineLvl w:val="0"/>
                    <w:rPr>
                      <w:szCs w:val="21"/>
                    </w:rPr>
                  </w:pPr>
                  <w:r>
                    <w:rPr>
                      <w:szCs w:val="21"/>
                    </w:rPr>
                    <w:t>27.强化VOCs日常监管</w:t>
                  </w:r>
                </w:p>
              </w:tc>
              <w:tc>
                <w:tcPr>
                  <w:tcW w:w="8080" w:type="dxa"/>
                  <w:tcMar>
                    <w:left w:w="28" w:type="dxa"/>
                    <w:right w:w="28" w:type="dxa"/>
                  </w:tcMar>
                  <w:vAlign w:val="center"/>
                </w:tcPr>
                <w:p>
                  <w:pPr>
                    <w:adjustRightInd w:val="0"/>
                    <w:snapToGrid w:val="0"/>
                    <w:textAlignment w:val="baseline"/>
                    <w:outlineLvl w:val="0"/>
                    <w:rPr>
                      <w:szCs w:val="21"/>
                    </w:rPr>
                  </w:pPr>
                  <w:r>
                    <w:rPr>
                      <w:szCs w:val="21"/>
                    </w:rPr>
                    <w:t>加强挥发性有机物排放管理</w:t>
                  </w:r>
                  <w:r>
                    <w:rPr>
                      <w:rFonts w:hint="eastAsia"/>
                      <w:szCs w:val="21"/>
                    </w:rPr>
                    <w:t>，引导</w:t>
                  </w:r>
                  <w:r>
                    <w:rPr>
                      <w:szCs w:val="21"/>
                    </w:rPr>
                    <w:t>涉VOCs污染物排放企业妥善安排生产计划</w:t>
                  </w:r>
                  <w:r>
                    <w:rPr>
                      <w:rFonts w:hint="eastAsia"/>
                      <w:szCs w:val="21"/>
                    </w:rPr>
                    <w:t>，</w:t>
                  </w:r>
                  <w:r>
                    <w:rPr>
                      <w:szCs w:val="21"/>
                    </w:rPr>
                    <w:t>在夏季</w:t>
                  </w:r>
                  <w:r>
                    <w:rPr>
                      <w:rFonts w:hint="eastAsia"/>
                      <w:szCs w:val="21"/>
                    </w:rPr>
                    <w:t>（5</w:t>
                  </w:r>
                  <w:r>
                    <w:rPr>
                      <w:szCs w:val="21"/>
                    </w:rPr>
                    <w:t>-9</w:t>
                  </w:r>
                  <w:r>
                    <w:rPr>
                      <w:rFonts w:hint="eastAsia"/>
                      <w:szCs w:val="21"/>
                    </w:rPr>
                    <w:t>月份）</w:t>
                  </w:r>
                  <w:r>
                    <w:rPr>
                      <w:szCs w:val="21"/>
                    </w:rPr>
                    <w:t>减少开停车、放空、开釜等操作。涉VOCs防腐、防水、防锈等涂装作业及大中型装修、外立面改造、道路划线、沥青铺设等施工作业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医药、化工等重点行业企业应提前向当地生态环境部门报告开停车、检维修计划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3969" w:type="dxa"/>
                  <w:tcMar>
                    <w:left w:w="28" w:type="dxa"/>
                    <w:right w:w="28" w:type="dxa"/>
                  </w:tcMar>
                  <w:vAlign w:val="center"/>
                </w:tcPr>
                <w:p>
                  <w:pPr>
                    <w:adjustRightInd w:val="0"/>
                    <w:snapToGrid w:val="0"/>
                    <w:textAlignment w:val="baseline"/>
                    <w:outlineLvl w:val="0"/>
                    <w:rPr>
                      <w:szCs w:val="21"/>
                    </w:rPr>
                  </w:pPr>
                  <w:r>
                    <w:rPr>
                      <w:rFonts w:hint="eastAsia"/>
                      <w:szCs w:val="21"/>
                    </w:rPr>
                    <w:t>本项目为卫生材料及医药用品制造项目，属于医药制造业，生产过程中会产生少量废气污染物V</w:t>
                  </w:r>
                  <w:r>
                    <w:rPr>
                      <w:szCs w:val="21"/>
                    </w:rPr>
                    <w:t>OCs</w:t>
                  </w:r>
                  <w:r>
                    <w:rPr>
                      <w:rFonts w:hint="eastAsia"/>
                      <w:szCs w:val="21"/>
                    </w:rPr>
                    <w:t>（环氧乙烷，以非甲烷总烃计），本项目将严格按照重点行业绩效分级A级及以上的要求进行建设。</w:t>
                  </w:r>
                </w:p>
              </w:tc>
              <w:tc>
                <w:tcPr>
                  <w:tcW w:w="536" w:type="dxa"/>
                  <w:tcMar>
                    <w:left w:w="28" w:type="dxa"/>
                    <w:right w:w="28" w:type="dxa"/>
                  </w:tcMar>
                  <w:vAlign w:val="center"/>
                </w:tcPr>
                <w:p>
                  <w:pPr>
                    <w:adjustRightInd w:val="0"/>
                    <w:snapToGrid w:val="0"/>
                    <w:jc w:val="center"/>
                    <w:textAlignment w:val="baseline"/>
                    <w:outlineLvl w:val="0"/>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436" w:type="dxa"/>
                  <w:gridSpan w:val="4"/>
                  <w:tcMar>
                    <w:left w:w="28" w:type="dxa"/>
                    <w:right w:w="28" w:type="dxa"/>
                  </w:tcMar>
                  <w:vAlign w:val="center"/>
                </w:tcPr>
                <w:p>
                  <w:pPr>
                    <w:adjustRightInd w:val="0"/>
                    <w:snapToGrid w:val="0"/>
                    <w:jc w:val="center"/>
                    <w:textAlignment w:val="baseline"/>
                    <w:outlineLvl w:val="0"/>
                    <w:rPr>
                      <w:szCs w:val="21"/>
                    </w:rPr>
                  </w:pPr>
                  <w:r>
                    <w:rPr>
                      <w:b/>
                      <w:color w:val="000000"/>
                      <w:szCs w:val="21"/>
                    </w:rPr>
                    <w:t>《</w:t>
                  </w:r>
                  <w:r>
                    <w:rPr>
                      <w:rFonts w:hint="eastAsia"/>
                      <w:b/>
                      <w:color w:val="000000"/>
                      <w:szCs w:val="21"/>
                    </w:rPr>
                    <w:t>新乡市</w:t>
                  </w:r>
                  <w:r>
                    <w:rPr>
                      <w:rFonts w:hint="eastAsia"/>
                      <w:b/>
                      <w:szCs w:val="21"/>
                    </w:rPr>
                    <w:t>2</w:t>
                  </w:r>
                  <w:r>
                    <w:rPr>
                      <w:b/>
                      <w:szCs w:val="21"/>
                    </w:rPr>
                    <w:t>022</w:t>
                  </w:r>
                  <w:r>
                    <w:rPr>
                      <w:b/>
                      <w:color w:val="000000"/>
                      <w:szCs w:val="21"/>
                    </w:rPr>
                    <w:t>年水污染防治攻坚战实施方案》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1" w:type="dxa"/>
                  <w:tcMar>
                    <w:left w:w="28" w:type="dxa"/>
                    <w:right w:w="28" w:type="dxa"/>
                  </w:tcMar>
                  <w:vAlign w:val="center"/>
                </w:tcPr>
                <w:p>
                  <w:pPr>
                    <w:adjustRightInd w:val="0"/>
                    <w:snapToGrid w:val="0"/>
                    <w:jc w:val="center"/>
                    <w:textAlignment w:val="baseline"/>
                    <w:outlineLvl w:val="0"/>
                    <w:rPr>
                      <w:szCs w:val="21"/>
                    </w:rPr>
                  </w:pPr>
                  <w:r>
                    <w:rPr>
                      <w:szCs w:val="21"/>
                    </w:rPr>
                    <w:t>14.</w:t>
                  </w:r>
                  <w:r>
                    <w:rPr>
                      <w:rFonts w:hint="eastAsia"/>
                      <w:szCs w:val="21"/>
                    </w:rPr>
                    <w:t>调整优化产业结构</w:t>
                  </w:r>
                </w:p>
              </w:tc>
              <w:tc>
                <w:tcPr>
                  <w:tcW w:w="8080" w:type="dxa"/>
                  <w:tcMar>
                    <w:left w:w="28" w:type="dxa"/>
                    <w:right w:w="28" w:type="dxa"/>
                  </w:tcMar>
                  <w:vAlign w:val="center"/>
                </w:tcPr>
                <w:p>
                  <w:pPr>
                    <w:adjustRightInd w:val="0"/>
                    <w:snapToGrid w:val="0"/>
                    <w:textAlignment w:val="baseline"/>
                    <w:outlineLvl w:val="0"/>
                    <w:rPr>
                      <w:szCs w:val="21"/>
                    </w:rPr>
                  </w:pPr>
                  <w:r>
                    <w:rPr>
                      <w:rFonts w:hint="eastAsia"/>
                      <w:szCs w:val="21"/>
                    </w:rP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3969" w:type="dxa"/>
                  <w:tcMar>
                    <w:left w:w="28" w:type="dxa"/>
                    <w:right w:w="28" w:type="dxa"/>
                  </w:tcMar>
                  <w:vAlign w:val="center"/>
                </w:tcPr>
                <w:p>
                  <w:pPr>
                    <w:adjustRightInd w:val="0"/>
                    <w:snapToGrid w:val="0"/>
                    <w:textAlignment w:val="baseline"/>
                    <w:outlineLvl w:val="0"/>
                    <w:rPr>
                      <w:szCs w:val="21"/>
                    </w:rPr>
                  </w:pPr>
                  <w:r>
                    <w:rPr>
                      <w:szCs w:val="21"/>
                    </w:rPr>
                    <w:t>本项目</w:t>
                  </w:r>
                  <w:r>
                    <w:rPr>
                      <w:rFonts w:hint="eastAsia"/>
                      <w:szCs w:val="21"/>
                    </w:rPr>
                    <w:t>为扩建项目，为卫生材料及医药用品制造项目，属于医药制造业</w:t>
                  </w:r>
                  <w:r>
                    <w:rPr>
                      <w:szCs w:val="21"/>
                    </w:rPr>
                    <w:t>，</w:t>
                  </w:r>
                  <w:r>
                    <w:rPr>
                      <w:rFonts w:hint="eastAsia"/>
                      <w:szCs w:val="21"/>
                    </w:rPr>
                    <w:t>位于新乡市获嘉县亢村镇产业新城纬八路2</w:t>
                  </w:r>
                  <w:r>
                    <w:rPr>
                      <w:szCs w:val="21"/>
                    </w:rPr>
                    <w:t>号</w:t>
                  </w:r>
                  <w:r>
                    <w:rPr>
                      <w:rFonts w:hint="eastAsia"/>
                      <w:szCs w:val="21"/>
                    </w:rPr>
                    <w:t>，</w:t>
                  </w:r>
                  <w:r>
                    <w:rPr>
                      <w:szCs w:val="21"/>
                    </w:rPr>
                    <w:t>不属于</w:t>
                  </w:r>
                  <w:r>
                    <w:rPr>
                      <w:rFonts w:hint="eastAsia"/>
                      <w:szCs w:val="21"/>
                    </w:rPr>
                    <w:t>“两高一资”项目</w:t>
                  </w:r>
                  <w:r>
                    <w:rPr>
                      <w:szCs w:val="21"/>
                    </w:rPr>
                    <w:t>。</w:t>
                  </w:r>
                </w:p>
              </w:tc>
              <w:tc>
                <w:tcPr>
                  <w:tcW w:w="536" w:type="dxa"/>
                  <w:tcMar>
                    <w:left w:w="28" w:type="dxa"/>
                    <w:right w:w="28" w:type="dxa"/>
                  </w:tcMar>
                  <w:vAlign w:val="center"/>
                </w:tcPr>
                <w:p>
                  <w:pPr>
                    <w:adjustRightInd w:val="0"/>
                    <w:snapToGrid w:val="0"/>
                    <w:jc w:val="center"/>
                    <w:textAlignment w:val="baseline"/>
                    <w:outlineLvl w:val="0"/>
                    <w:rPr>
                      <w:szCs w:val="21"/>
                    </w:rPr>
                  </w:pPr>
                  <w:r>
                    <w:rPr>
                      <w:szCs w:val="21"/>
                    </w:rPr>
                    <w:t>符合</w:t>
                  </w:r>
                </w:p>
              </w:tc>
            </w:tr>
          </w:tbl>
          <w:p>
            <w:pPr>
              <w:pStyle w:val="14"/>
              <w:snapToGrid w:val="0"/>
              <w:spacing w:before="0" w:beforeAutospacing="0" w:after="0" w:afterAutospacing="0" w:line="460" w:lineRule="exact"/>
              <w:ind w:firstLine="480" w:firstLineChars="200"/>
              <w:jc w:val="both"/>
              <w:outlineLvl w:val="0"/>
              <w:rPr>
                <w:rFonts w:ascii="Times New Roman" w:hAnsi="Times New Roman"/>
                <w:szCs w:val="24"/>
              </w:rPr>
            </w:pPr>
            <w:r>
              <w:rPr>
                <w:rFonts w:hint="eastAsia" w:ascii="Times New Roman" w:hAnsi="Times New Roman"/>
                <w:szCs w:val="24"/>
              </w:rPr>
              <w:t>由上表可知，本项目符合《攻坚战实施方案》相关要求。</w:t>
            </w:r>
          </w:p>
          <w:p>
            <w:pPr>
              <w:pStyle w:val="14"/>
              <w:adjustRightInd w:val="0"/>
              <w:snapToGrid w:val="0"/>
              <w:spacing w:before="0" w:beforeAutospacing="0" w:after="0" w:afterAutospacing="0" w:line="460" w:lineRule="exact"/>
              <w:ind w:firstLine="480" w:firstLineChars="200"/>
              <w:jc w:val="both"/>
              <w:outlineLvl w:val="0"/>
              <w:rPr>
                <w:rFonts w:ascii="Times New Roman" w:hAnsi="Times New Roman"/>
                <w:bCs/>
                <w:color w:val="000000"/>
                <w:lang w:val="en-US"/>
              </w:rPr>
            </w:pPr>
            <w:r>
              <w:rPr>
                <w:rFonts w:hint="eastAsia" w:ascii="Times New Roman" w:hAnsi="Times New Roman"/>
                <w:bCs/>
                <w:color w:val="000000"/>
                <w:lang w:val="en-US"/>
              </w:rPr>
              <w:t>（</w:t>
            </w:r>
            <w:r>
              <w:rPr>
                <w:rFonts w:ascii="Times New Roman" w:hAnsi="Times New Roman"/>
                <w:bCs/>
                <w:color w:val="000000"/>
                <w:lang w:val="en-US"/>
              </w:rPr>
              <w:t>3</w:t>
            </w:r>
            <w:r>
              <w:rPr>
                <w:rFonts w:hint="eastAsia" w:ascii="Times New Roman" w:hAnsi="Times New Roman"/>
                <w:bCs/>
                <w:color w:val="000000"/>
                <w:lang w:val="en-US"/>
              </w:rPr>
              <w:t>）</w:t>
            </w:r>
            <w:r>
              <w:rPr>
                <w:rFonts w:ascii="Times New Roman" w:hAnsi="Times New Roman"/>
                <w:bCs/>
                <w:color w:val="000000"/>
                <w:lang w:val="en-US"/>
              </w:rPr>
              <w:t>与</w:t>
            </w:r>
            <w:r>
              <w:rPr>
                <w:rFonts w:hint="eastAsia" w:ascii="Times New Roman" w:hAnsi="Times New Roman"/>
                <w:bCs/>
                <w:color w:val="000000"/>
                <w:lang w:val="en-US"/>
              </w:rPr>
              <w:t>《河南省重污染天气通用行业应急减排措施制定技术指南（2021年修订版）》相符性分析</w:t>
            </w:r>
          </w:p>
          <w:p>
            <w:pPr>
              <w:pStyle w:val="14"/>
              <w:snapToGrid w:val="0"/>
              <w:spacing w:before="0" w:beforeAutospacing="0" w:after="0" w:afterAutospacing="0" w:line="460" w:lineRule="exact"/>
              <w:ind w:firstLine="480" w:firstLineChars="200"/>
              <w:jc w:val="both"/>
              <w:outlineLvl w:val="0"/>
              <w:rPr>
                <w:rFonts w:ascii="Times New Roman" w:hAnsi="Times New Roman"/>
                <w:lang w:val="en-US"/>
              </w:rPr>
            </w:pPr>
            <w:r>
              <w:rPr>
                <w:rFonts w:ascii="Times New Roman" w:hAnsi="Times New Roman"/>
                <w:lang w:val="en-US"/>
              </w:rPr>
              <w:t>根据《河南省重污染天气</w:t>
            </w:r>
            <w:r>
              <w:rPr>
                <w:rFonts w:hint="eastAsia" w:ascii="Times New Roman" w:hAnsi="Times New Roman"/>
                <w:lang w:val="en-US"/>
              </w:rPr>
              <w:t>通用</w:t>
            </w:r>
            <w:r>
              <w:rPr>
                <w:rFonts w:ascii="Times New Roman" w:hAnsi="Times New Roman"/>
                <w:lang w:val="en-US"/>
              </w:rPr>
              <w:t>行业应急减排措施制定技术指南（2021年修订</w:t>
            </w:r>
            <w:r>
              <w:rPr>
                <w:rFonts w:hint="eastAsia" w:ascii="Times New Roman" w:hAnsi="Times New Roman"/>
                <w:lang w:val="en-US"/>
              </w:rPr>
              <w:t>版）</w:t>
            </w:r>
            <w:r>
              <w:rPr>
                <w:rFonts w:ascii="Times New Roman" w:hAnsi="Times New Roman"/>
                <w:lang w:val="en-US"/>
              </w:rPr>
              <w:t>》</w:t>
            </w:r>
            <w:r>
              <w:rPr>
                <w:rFonts w:hint="eastAsia" w:ascii="Times New Roman" w:hAnsi="Times New Roman"/>
                <w:lang w:val="en-US"/>
              </w:rPr>
              <w:t>涉V</w:t>
            </w:r>
            <w:r>
              <w:rPr>
                <w:rFonts w:ascii="Times New Roman" w:hAnsi="Times New Roman"/>
                <w:lang w:val="en-US"/>
              </w:rPr>
              <w:t>OCs</w:t>
            </w:r>
            <w:r>
              <w:rPr>
                <w:rFonts w:hint="eastAsia" w:ascii="Times New Roman" w:hAnsi="Times New Roman"/>
                <w:lang w:val="en-US"/>
              </w:rPr>
              <w:t>企业</w:t>
            </w:r>
            <w:r>
              <w:rPr>
                <w:rFonts w:ascii="Times New Roman" w:hAnsi="Times New Roman"/>
                <w:lang w:val="en-US"/>
              </w:rPr>
              <w:t>的要求，结合本项目的情况，该方案中涉及到本项目的内容与本项目实际情况的对比情况有：</w:t>
            </w:r>
          </w:p>
          <w:p>
            <w:pPr>
              <w:adjustRightInd w:val="0"/>
              <w:snapToGrid w:val="0"/>
              <w:spacing w:line="460" w:lineRule="exact"/>
              <w:ind w:firstLine="480" w:firstLineChars="200"/>
              <w:textAlignment w:val="baseline"/>
              <w:outlineLvl w:val="0"/>
              <w:rPr>
                <w:rFonts w:eastAsia="黑体"/>
                <w:sz w:val="24"/>
              </w:rPr>
            </w:pPr>
            <w:r>
              <w:rPr>
                <w:rFonts w:eastAsia="黑体"/>
                <w:sz w:val="24"/>
              </w:rPr>
              <w:t>表8</w:t>
            </w:r>
            <w:r>
              <w:rPr>
                <w:rFonts w:hint="eastAsia" w:eastAsia="黑体"/>
                <w:sz w:val="24"/>
              </w:rPr>
              <w:t xml:space="preserve">        </w:t>
            </w:r>
            <w:r>
              <w:rPr>
                <w:rFonts w:eastAsia="黑体"/>
                <w:sz w:val="24"/>
              </w:rPr>
              <w:t xml:space="preserve">         </w:t>
            </w:r>
            <w:r>
              <w:rPr>
                <w:rFonts w:hint="eastAsia" w:eastAsia="黑体"/>
                <w:sz w:val="24"/>
              </w:rPr>
              <w:t xml:space="preserve"> 本项目与《河南省重污染天气通用行业应急减排措施指南》</w:t>
            </w:r>
            <w:r>
              <w:rPr>
                <w:rFonts w:eastAsia="黑体"/>
                <w:sz w:val="24"/>
              </w:rPr>
              <w:t>对比分析</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4"/>
              <w:gridCol w:w="6804"/>
              <w:gridCol w:w="4536"/>
              <w:gridCol w:w="9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22" w:type="pct"/>
                  <w:shd w:val="clear" w:color="auto" w:fill="auto"/>
                  <w:vAlign w:val="center"/>
                </w:tcPr>
                <w:p>
                  <w:pPr>
                    <w:pStyle w:val="44"/>
                  </w:pPr>
                  <w:r>
                    <w:rPr>
                      <w:rFonts w:hint="eastAsia"/>
                    </w:rPr>
                    <w:t>项目</w:t>
                  </w:r>
                </w:p>
              </w:tc>
              <w:tc>
                <w:tcPr>
                  <w:tcW w:w="2532" w:type="pct"/>
                  <w:shd w:val="clear" w:color="auto" w:fill="auto"/>
                  <w:vAlign w:val="center"/>
                </w:tcPr>
                <w:p>
                  <w:pPr>
                    <w:pStyle w:val="44"/>
                  </w:pPr>
                  <w:r>
                    <w:rPr>
                      <w:rFonts w:hint="eastAsia"/>
                    </w:rPr>
                    <w:t>与本项目有关的相关条文</w:t>
                  </w:r>
                </w:p>
              </w:tc>
              <w:tc>
                <w:tcPr>
                  <w:tcW w:w="1688" w:type="pct"/>
                  <w:vAlign w:val="center"/>
                </w:tcPr>
                <w:p>
                  <w:pPr>
                    <w:pStyle w:val="44"/>
                  </w:pPr>
                  <w:r>
                    <w:rPr>
                      <w:rFonts w:hint="eastAsia"/>
                    </w:rPr>
                    <w:t>本项目拟建设情况</w:t>
                  </w:r>
                </w:p>
              </w:tc>
              <w:tc>
                <w:tcPr>
                  <w:tcW w:w="358" w:type="pct"/>
                  <w:shd w:val="clear" w:color="auto" w:fill="auto"/>
                  <w:vAlign w:val="center"/>
                </w:tcPr>
                <w:p>
                  <w:pPr>
                    <w:pStyle w:val="44"/>
                  </w:pPr>
                  <w:r>
                    <w:rPr>
                      <w:rFonts w:hint="eastAsia"/>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pacing w:val="-2"/>
                    </w:rPr>
                  </w:pPr>
                  <w:r>
                    <w:rPr>
                      <w:rFonts w:hint="eastAsia"/>
                      <w:spacing w:val="-2"/>
                    </w:rPr>
                    <w:t>1</w:t>
                  </w:r>
                  <w:r>
                    <w:rPr>
                      <w:spacing w:val="-2"/>
                    </w:rPr>
                    <w:t>.</w:t>
                  </w:r>
                  <w:r>
                    <w:rPr>
                      <w:rFonts w:hint="eastAsia"/>
                      <w:spacing w:val="-2"/>
                    </w:rPr>
                    <w:t>物料储存</w:t>
                  </w:r>
                </w:p>
              </w:tc>
              <w:tc>
                <w:tcPr>
                  <w:tcW w:w="2532" w:type="pct"/>
                  <w:shd w:val="clear" w:color="auto" w:fill="auto"/>
                  <w:vAlign w:val="center"/>
                </w:tcPr>
                <w:p>
                  <w:pPr>
                    <w:pStyle w:val="41"/>
                    <w:ind w:firstLine="0" w:firstLineChars="0"/>
                    <w:rPr>
                      <w:szCs w:val="21"/>
                    </w:rPr>
                  </w:pPr>
                  <w:r>
                    <w:rPr>
                      <w:rFonts w:hint="eastAsia"/>
                      <w:szCs w:val="21"/>
                    </w:rPr>
                    <w:t>涂料、稀释剂、清洗剂等原辅材料密闭存储。盛装过</w:t>
                  </w:r>
                  <w:r>
                    <w:rPr>
                      <w:szCs w:val="21"/>
                    </w:rPr>
                    <w:t>VOCs</w:t>
                  </w:r>
                  <w:r>
                    <w:rPr>
                      <w:rFonts w:hint="eastAsia"/>
                      <w:szCs w:val="21"/>
                    </w:rPr>
                    <w:t>物料的包装容器、含</w:t>
                  </w:r>
                  <w:r>
                    <w:rPr>
                      <w:szCs w:val="21"/>
                    </w:rPr>
                    <w:t>VOCs</w:t>
                  </w:r>
                  <w:r>
                    <w:rPr>
                      <w:rFonts w:hint="eastAsia"/>
                      <w:szCs w:val="21"/>
                    </w:rPr>
                    <w:t>废料（渣液）、废吸附剂等通过加盖、封装等方式密闭储存；生产车间内涉</w:t>
                  </w:r>
                  <w:r>
                    <w:rPr>
                      <w:szCs w:val="21"/>
                    </w:rPr>
                    <w:t>VOCs</w:t>
                  </w:r>
                  <w:r>
                    <w:rPr>
                      <w:rFonts w:hint="eastAsia"/>
                      <w:szCs w:val="21"/>
                    </w:rPr>
                    <w:t>物料应密闭储存。</w:t>
                  </w:r>
                </w:p>
              </w:tc>
              <w:tc>
                <w:tcPr>
                  <w:tcW w:w="1688" w:type="pct"/>
                  <w:vAlign w:val="center"/>
                </w:tcPr>
                <w:p>
                  <w:pPr>
                    <w:pStyle w:val="41"/>
                    <w:ind w:firstLine="0" w:firstLineChars="0"/>
                    <w:rPr>
                      <w:szCs w:val="21"/>
                    </w:rPr>
                  </w:pPr>
                  <w:r>
                    <w:rPr>
                      <w:rFonts w:hint="eastAsia"/>
                      <w:szCs w:val="21"/>
                    </w:rPr>
                    <w:t>本项目不涉及涂料、稀释剂、清洗剂等的使用。</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pacing w:val="-2"/>
                    </w:rPr>
                  </w:pPr>
                  <w:r>
                    <w:rPr>
                      <w:rFonts w:hint="eastAsia"/>
                      <w:spacing w:val="-2"/>
                    </w:rPr>
                    <w:t>2</w:t>
                  </w:r>
                  <w:r>
                    <w:rPr>
                      <w:spacing w:val="-2"/>
                    </w:rPr>
                    <w:t>.</w:t>
                  </w:r>
                  <w:r>
                    <w:rPr>
                      <w:rFonts w:hint="eastAsia"/>
                      <w:spacing w:val="-2"/>
                    </w:rPr>
                    <w:t>物料转移和输送</w:t>
                  </w:r>
                </w:p>
              </w:tc>
              <w:tc>
                <w:tcPr>
                  <w:tcW w:w="2532" w:type="pct"/>
                  <w:shd w:val="clear" w:color="auto" w:fill="auto"/>
                  <w:vAlign w:val="center"/>
                </w:tcPr>
                <w:p>
                  <w:pPr>
                    <w:pStyle w:val="41"/>
                    <w:ind w:firstLine="0" w:firstLineChars="0"/>
                    <w:rPr>
                      <w:szCs w:val="21"/>
                    </w:rPr>
                  </w:pPr>
                  <w:r>
                    <w:rPr>
                      <w:rFonts w:hint="eastAsia"/>
                      <w:szCs w:val="21"/>
                    </w:rPr>
                    <w:t>采用密闭管道或密闭容器等输送。</w:t>
                  </w:r>
                </w:p>
              </w:tc>
              <w:tc>
                <w:tcPr>
                  <w:tcW w:w="1688" w:type="pct"/>
                  <w:vAlign w:val="center"/>
                </w:tcPr>
                <w:p>
                  <w:pPr>
                    <w:pStyle w:val="41"/>
                    <w:ind w:firstLine="0" w:firstLineChars="0"/>
                    <w:rPr>
                      <w:szCs w:val="21"/>
                    </w:rPr>
                  </w:pPr>
                  <w:r>
                    <w:rPr>
                      <w:rFonts w:hint="eastAsia"/>
                      <w:szCs w:val="21"/>
                    </w:rPr>
                    <w:t>本项目环氧乙烷采用罐装入厂，采用密闭管道通入杀菌柜内。</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pacing w:val="-2"/>
                    </w:rPr>
                  </w:pPr>
                  <w:r>
                    <w:rPr>
                      <w:rFonts w:hint="eastAsia"/>
                      <w:spacing w:val="-2"/>
                    </w:rPr>
                    <w:t>3</w:t>
                  </w:r>
                  <w:r>
                    <w:rPr>
                      <w:spacing w:val="-2"/>
                    </w:rPr>
                    <w:t>.</w:t>
                  </w:r>
                  <w:r>
                    <w:rPr>
                      <w:rFonts w:hint="eastAsia"/>
                      <w:spacing w:val="-2"/>
                    </w:rPr>
                    <w:t>工艺过程</w:t>
                  </w:r>
                </w:p>
              </w:tc>
              <w:tc>
                <w:tcPr>
                  <w:tcW w:w="2532" w:type="pct"/>
                  <w:shd w:val="clear" w:color="auto" w:fill="auto"/>
                  <w:vAlign w:val="center"/>
                </w:tcPr>
                <w:p>
                  <w:pPr>
                    <w:pStyle w:val="41"/>
                    <w:ind w:firstLine="0" w:firstLineChars="0"/>
                    <w:rPr>
                      <w:szCs w:val="21"/>
                    </w:rPr>
                  </w:pPr>
                  <w:r>
                    <w:rPr>
                      <w:rFonts w:hint="eastAsia"/>
                      <w:szCs w:val="21"/>
                    </w:rPr>
                    <w:t>原辅材料调配、使用（施胶、喷涂、干燥等）、回收等过程采用密闭设备或在密闭空间内操作。</w:t>
                  </w:r>
                </w:p>
                <w:p>
                  <w:pPr>
                    <w:pStyle w:val="41"/>
                    <w:ind w:firstLine="0" w:firstLineChars="0"/>
                    <w:rPr>
                      <w:szCs w:val="21"/>
                    </w:rPr>
                  </w:pPr>
                  <w:r>
                    <w:rPr>
                      <w:rFonts w:hint="eastAsia"/>
                      <w:szCs w:val="21"/>
                    </w:rPr>
                    <w:t>涉</w:t>
                  </w:r>
                  <w:r>
                    <w:rPr>
                      <w:szCs w:val="21"/>
                    </w:rPr>
                    <w:t>VOCs</w:t>
                  </w:r>
                  <w:r>
                    <w:rPr>
                      <w:rFonts w:hint="eastAsia"/>
                      <w:szCs w:val="21"/>
                    </w:rPr>
                    <w:t>原料装卸、储存、转移和输送、工艺过程等环节的废气全部收集引至</w:t>
                  </w:r>
                  <w:r>
                    <w:rPr>
                      <w:szCs w:val="21"/>
                    </w:rPr>
                    <w:t>VOCs</w:t>
                  </w:r>
                  <w:r>
                    <w:rPr>
                      <w:rFonts w:hint="eastAsia"/>
                      <w:szCs w:val="21"/>
                    </w:rPr>
                    <w:t>处理系统。</w:t>
                  </w:r>
                </w:p>
              </w:tc>
              <w:tc>
                <w:tcPr>
                  <w:tcW w:w="1688" w:type="pct"/>
                  <w:vAlign w:val="center"/>
                </w:tcPr>
                <w:p>
                  <w:pPr>
                    <w:pStyle w:val="41"/>
                    <w:ind w:firstLine="0" w:firstLineChars="0"/>
                    <w:jc w:val="center"/>
                    <w:rPr>
                      <w:szCs w:val="21"/>
                    </w:rPr>
                  </w:pPr>
                  <w:r>
                    <w:rPr>
                      <w:rFonts w:hint="eastAsia"/>
                      <w:szCs w:val="21"/>
                    </w:rPr>
                    <w:t>本项目不涉及。</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zCs w:val="28"/>
                      <w:lang w:val="en-US"/>
                    </w:rPr>
                  </w:pPr>
                  <w:r>
                    <w:rPr>
                      <w:spacing w:val="-2"/>
                    </w:rPr>
                    <w:t>（1）生产工艺和装备</w:t>
                  </w:r>
                </w:p>
              </w:tc>
              <w:tc>
                <w:tcPr>
                  <w:tcW w:w="2532" w:type="pct"/>
                  <w:shd w:val="clear" w:color="auto" w:fill="auto"/>
                  <w:vAlign w:val="center"/>
                </w:tcPr>
                <w:p>
                  <w:pPr>
                    <w:pStyle w:val="41"/>
                    <w:ind w:firstLine="0" w:firstLineChars="0"/>
                  </w:pPr>
                  <w:r>
                    <w:rPr>
                      <w:szCs w:val="21"/>
                    </w:rPr>
                    <w:t>不属于《产业结构调整指导目录（2019年版）》淘汰类，不属于省级和市级政府部门明确列入已经限期淘汰类项目。</w:t>
                  </w:r>
                </w:p>
              </w:tc>
              <w:tc>
                <w:tcPr>
                  <w:tcW w:w="1688" w:type="pct"/>
                  <w:vAlign w:val="center"/>
                </w:tcPr>
                <w:p>
                  <w:pPr>
                    <w:pStyle w:val="41"/>
                    <w:ind w:firstLine="0" w:firstLineChars="0"/>
                  </w:pPr>
                  <w:r>
                    <w:rPr>
                      <w:szCs w:val="21"/>
                    </w:rPr>
                    <w:t>本项目不属于《产业结构调整指导目录（2019年版）》淘汰类，属于允许类，不属于省级和市级政府部门明确列入已经限期淘汰类项目。</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zCs w:val="28"/>
                      <w:lang w:val="en-US"/>
                    </w:rPr>
                  </w:pPr>
                  <w:r>
                    <w:rPr>
                      <w:szCs w:val="28"/>
                    </w:rPr>
                    <w:t>（2）污染治理副产物</w:t>
                  </w:r>
                </w:p>
              </w:tc>
              <w:tc>
                <w:tcPr>
                  <w:tcW w:w="2532" w:type="pct"/>
                  <w:shd w:val="clear" w:color="auto" w:fill="auto"/>
                  <w:vAlign w:val="center"/>
                </w:tcPr>
                <w:p>
                  <w:pPr>
                    <w:pStyle w:val="41"/>
                    <w:ind w:firstLine="0" w:firstLineChars="0"/>
                  </w:pPr>
                  <w:r>
                    <w:rPr>
                      <w:szCs w:val="21"/>
                    </w:rPr>
                    <w:t>除尘器应设置密闭灰</w:t>
                  </w:r>
                  <w:r>
                    <w:rPr>
                      <w:rFonts w:hint="eastAsia"/>
                      <w:szCs w:val="21"/>
                    </w:rPr>
                    <w:t>库</w:t>
                  </w:r>
                  <w:r>
                    <w:rPr>
                      <w:szCs w:val="21"/>
                    </w:rPr>
                    <w:t>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1688" w:type="pct"/>
                  <w:vAlign w:val="center"/>
                </w:tcPr>
                <w:p>
                  <w:pPr>
                    <w:pStyle w:val="41"/>
                    <w:ind w:firstLine="0" w:firstLineChars="0"/>
                  </w:pPr>
                  <w:r>
                    <w:t>本项目不涉及除尘器及其运输，也不会产生脱硫石膏和</w:t>
                  </w:r>
                  <w:r>
                    <w:rPr>
                      <w:spacing w:val="-5"/>
                      <w:szCs w:val="21"/>
                    </w:rPr>
                    <w:t>脱硫废渣。</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zCs w:val="28"/>
                    </w:rPr>
                  </w:pPr>
                  <w:r>
                    <w:rPr>
                      <w:rFonts w:hint="eastAsia"/>
                      <w:szCs w:val="28"/>
                    </w:rPr>
                    <w:t>（3）用电量/视频监管</w:t>
                  </w:r>
                </w:p>
              </w:tc>
              <w:tc>
                <w:tcPr>
                  <w:tcW w:w="2532" w:type="pct"/>
                  <w:shd w:val="clear" w:color="auto" w:fill="auto"/>
                  <w:vAlign w:val="center"/>
                </w:tcPr>
                <w:p>
                  <w:pPr>
                    <w:pStyle w:val="41"/>
                    <w:ind w:firstLine="0" w:firstLineChars="0"/>
                    <w:rPr>
                      <w:szCs w:val="21"/>
                    </w:rPr>
                  </w:pPr>
                  <w:r>
                    <w:rPr>
                      <w:rFonts w:hint="eastAsia"/>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Pr>
                      <w:szCs w:val="21"/>
                    </w:rPr>
                    <w:t>A</w:t>
                  </w:r>
                  <w:r>
                    <w:rPr>
                      <w:rFonts w:hint="eastAsia"/>
                      <w:szCs w:val="21"/>
                    </w:rPr>
                    <w:t>、</w:t>
                  </w:r>
                  <w:r>
                    <w:rPr>
                      <w:szCs w:val="21"/>
                    </w:rPr>
                    <w:t>B</w:t>
                  </w:r>
                  <w:r>
                    <w:rPr>
                      <w:rFonts w:hint="eastAsia"/>
                      <w:szCs w:val="21"/>
                    </w:rPr>
                    <w:t>级企业，应在主要生产设备（投料口、卸料口等位置）安装视频监控设施，相关数据保存三个月以上。</w:t>
                  </w:r>
                </w:p>
              </w:tc>
              <w:tc>
                <w:tcPr>
                  <w:tcW w:w="1688" w:type="pct"/>
                  <w:vAlign w:val="center"/>
                </w:tcPr>
                <w:p>
                  <w:pPr>
                    <w:pStyle w:val="41"/>
                    <w:ind w:firstLine="0" w:firstLineChars="0"/>
                  </w:pPr>
                  <w:r>
                    <w:rPr>
                      <w:rFonts w:hint="eastAsia"/>
                    </w:rPr>
                    <w:t>本项目将按照环保要求安装用电监控、视频监控，并与生态环境部门联网，相关数据保存三个月以上。</w:t>
                  </w:r>
                </w:p>
              </w:tc>
              <w:tc>
                <w:tcPr>
                  <w:tcW w:w="358" w:type="pct"/>
                  <w:shd w:val="clear" w:color="auto" w:fill="auto"/>
                  <w:vAlign w:val="center"/>
                </w:tcPr>
                <w:p>
                  <w:pPr>
                    <w:pStyle w:val="39"/>
                    <w:rPr>
                      <w:szCs w:val="28"/>
                      <w:lang w:val="en-US"/>
                    </w:rPr>
                  </w:pPr>
                  <w:r>
                    <w:rPr>
                      <w:rFonts w:hint="eastAsia"/>
                      <w:szCs w:val="28"/>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shd w:val="clear" w:color="auto" w:fill="auto"/>
                  <w:vAlign w:val="center"/>
                </w:tcPr>
                <w:p>
                  <w:pPr>
                    <w:pStyle w:val="39"/>
                    <w:rPr>
                      <w:szCs w:val="28"/>
                      <w:lang w:val="en-US"/>
                    </w:rPr>
                  </w:pPr>
                  <w:r>
                    <w:rPr>
                      <w:spacing w:val="-3"/>
                    </w:rPr>
                    <w:t>（</w:t>
                  </w:r>
                  <w:r>
                    <w:rPr>
                      <w:b/>
                      <w:bCs/>
                      <w:spacing w:val="-3"/>
                    </w:rPr>
                    <w:t>4</w:t>
                  </w:r>
                  <w:r>
                    <w:rPr>
                      <w:spacing w:val="-3"/>
                    </w:rPr>
                    <w:t>）厂容厂貌</w:t>
                  </w:r>
                </w:p>
              </w:tc>
              <w:tc>
                <w:tcPr>
                  <w:tcW w:w="2532" w:type="pct"/>
                  <w:shd w:val="clear" w:color="auto" w:fill="auto"/>
                  <w:vAlign w:val="center"/>
                </w:tcPr>
                <w:p>
                  <w:pPr>
                    <w:pStyle w:val="41"/>
                    <w:ind w:firstLine="0" w:firstLineChars="0"/>
                  </w:pPr>
                  <w:r>
                    <w:rPr>
                      <w:spacing w:val="-5"/>
                      <w:szCs w:val="21"/>
                    </w:rPr>
                    <w:t>厂区内道路、原辅材料和燃料堆场等路面应硬化。厂区内道</w:t>
                  </w:r>
                  <w:r>
                    <w:rPr>
                      <w:spacing w:val="-11"/>
                      <w:szCs w:val="21"/>
                    </w:rPr>
                    <w:t>路采取定期清扫、洒水等措施，保持清洁，路面无明显可见积尘。</w:t>
                  </w:r>
                  <w:r>
                    <w:rPr>
                      <w:spacing w:val="-1"/>
                      <w:szCs w:val="21"/>
                    </w:rPr>
                    <w:t>其他未利用地优先绿化，或进行硬化，无成片裸露土地。</w:t>
                  </w:r>
                </w:p>
              </w:tc>
              <w:tc>
                <w:tcPr>
                  <w:tcW w:w="1688" w:type="pct"/>
                  <w:vAlign w:val="center"/>
                </w:tcPr>
                <w:p>
                  <w:pPr>
                    <w:pStyle w:val="41"/>
                    <w:ind w:firstLine="0" w:firstLineChars="0"/>
                  </w:pPr>
                  <w:r>
                    <w:rPr>
                      <w:szCs w:val="21"/>
                    </w:rPr>
                    <w:t>本项目厂区</w:t>
                  </w:r>
                  <w:r>
                    <w:rPr>
                      <w:spacing w:val="-5"/>
                      <w:szCs w:val="21"/>
                    </w:rPr>
                    <w:t>内道路路面将进行硬化。厂区内道</w:t>
                  </w:r>
                  <w:r>
                    <w:rPr>
                      <w:spacing w:val="-11"/>
                      <w:szCs w:val="21"/>
                    </w:rPr>
                    <w:t>路采取定期清扫、洒水等措施，保持清洁，路面无明显可见积尘。</w:t>
                  </w:r>
                  <w:r>
                    <w:rPr>
                      <w:spacing w:val="-1"/>
                      <w:szCs w:val="21"/>
                    </w:rPr>
                    <w:t>其他未利用地将进行硬化，无成片裸露土地。</w:t>
                  </w:r>
                </w:p>
              </w:tc>
              <w:tc>
                <w:tcPr>
                  <w:tcW w:w="358" w:type="pct"/>
                  <w:shd w:val="clear" w:color="auto" w:fill="auto"/>
                  <w:vAlign w:val="center"/>
                </w:tcPr>
                <w:p>
                  <w:pPr>
                    <w:pStyle w:val="39"/>
                    <w:rPr>
                      <w:szCs w:val="28"/>
                      <w:lang w:val="en-US"/>
                    </w:rPr>
                  </w:pPr>
                  <w:r>
                    <w:rPr>
                      <w:rFonts w:hint="eastAsia"/>
                      <w:szCs w:val="28"/>
                      <w:lang w:val="en-US"/>
                    </w:rPr>
                    <w:t>符合</w:t>
                  </w:r>
                </w:p>
              </w:tc>
            </w:tr>
          </w:tbl>
          <w:p>
            <w:pPr>
              <w:ind w:firstLine="480"/>
            </w:pPr>
            <w:r>
              <w:rPr>
                <w:rFonts w:hint="eastAsia"/>
              </w:rPr>
              <w:t>评价要求：本项目严格按照上述要求进行建设，至少全部满足</w:t>
            </w:r>
            <w:r>
              <w:t>A</w:t>
            </w:r>
            <w:r>
              <w:rPr>
                <w:rFonts w:hint="eastAsia"/>
              </w:rPr>
              <w:t>级要求，并积极接受生态环境管理部门的监督检查。</w:t>
            </w:r>
          </w:p>
          <w:p>
            <w:pPr>
              <w:pStyle w:val="14"/>
              <w:snapToGrid w:val="0"/>
              <w:spacing w:before="0" w:beforeAutospacing="0" w:after="0" w:afterAutospacing="0" w:line="460" w:lineRule="exact"/>
              <w:ind w:firstLine="480" w:firstLineChars="200"/>
              <w:jc w:val="both"/>
              <w:outlineLvl w:val="0"/>
              <w:rPr>
                <w:rFonts w:ascii="Times New Roman" w:hAnsi="Times New Roman"/>
                <w:szCs w:val="24"/>
                <w:lang w:val="en-US"/>
              </w:rPr>
            </w:pPr>
            <w:r>
              <w:rPr>
                <w:rFonts w:hint="eastAsia" w:ascii="Times New Roman" w:hAnsi="Times New Roman"/>
                <w:color w:val="000000"/>
                <w:szCs w:val="24"/>
                <w:lang w:val="en-US"/>
              </w:rPr>
              <w:t>此外，</w:t>
            </w:r>
            <w:r>
              <w:rPr>
                <w:rFonts w:ascii="Times New Roman" w:hAnsi="Times New Roman"/>
                <w:color w:val="000000"/>
                <w:szCs w:val="24"/>
                <w:lang w:val="en-US"/>
              </w:rPr>
              <w:t>本项目建设能够满足《新乡市生态环境局关于印发新乡市2019年工业企业无组织排放治理方案的通知》、《挥发性有机物无组织排放控制标准》（GB37822-2019）、《2020年挥发性有机物治理攻坚方案的通知》（环大气〔2020〕33号）等政策文件的相关要求。</w:t>
            </w:r>
          </w:p>
          <w:p>
            <w:pPr>
              <w:pStyle w:val="14"/>
              <w:adjustRightInd w:val="0"/>
              <w:snapToGrid w:val="0"/>
              <w:spacing w:before="0" w:beforeAutospacing="0" w:after="0" w:afterAutospacing="0"/>
              <w:ind w:firstLine="480" w:firstLineChars="200"/>
              <w:jc w:val="both"/>
              <w:outlineLvl w:val="0"/>
              <w:rPr>
                <w:rFonts w:ascii="Times New Roman" w:hAnsi="Times New Roman"/>
                <w:snapToGrid w:val="0"/>
                <w:szCs w:val="30"/>
                <w:lang w:val="en-US"/>
              </w:rPr>
            </w:pPr>
          </w:p>
        </w:tc>
      </w:tr>
    </w:tbl>
    <w:p>
      <w:pPr>
        <w:pStyle w:val="14"/>
        <w:adjustRightInd w:val="0"/>
        <w:snapToGrid w:val="0"/>
        <w:spacing w:before="0" w:beforeAutospacing="0" w:after="0" w:afterAutospacing="0"/>
        <w:jc w:val="both"/>
        <w:rPr>
          <w:rFonts w:ascii="黑体" w:hAnsi="黑体" w:eastAsia="黑体"/>
          <w:snapToGrid w:val="0"/>
          <w:sz w:val="18"/>
          <w:szCs w:val="18"/>
        </w:rPr>
      </w:pPr>
    </w:p>
    <w:p>
      <w:pPr>
        <w:pStyle w:val="14"/>
        <w:adjustRightInd w:val="0"/>
        <w:snapToGrid w:val="0"/>
        <w:spacing w:before="0" w:beforeAutospacing="0" w:after="0" w:afterAutospacing="0"/>
        <w:jc w:val="both"/>
        <w:rPr>
          <w:rFonts w:ascii="黑体" w:hAnsi="黑体" w:eastAsia="黑体"/>
          <w:snapToGrid w:val="0"/>
          <w:sz w:val="18"/>
          <w:szCs w:val="18"/>
        </w:rPr>
        <w:sectPr>
          <w:pgSz w:w="16838" w:h="11906" w:orient="landscape"/>
          <w:pgMar w:top="1531" w:right="1701" w:bottom="1531" w:left="1701" w:header="851" w:footer="851" w:gutter="0"/>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23" w:type="dxa"/>
            <w:vAlign w:val="center"/>
          </w:tcPr>
          <w:p>
            <w:pPr>
              <w:pStyle w:val="14"/>
              <w:adjustRightInd w:val="0"/>
              <w:snapToGrid w:val="0"/>
              <w:spacing w:before="0" w:beforeAutospacing="0" w:after="0" w:afterAutospacing="0"/>
              <w:jc w:val="center"/>
              <w:rPr>
                <w:rFonts w:cs="宋体"/>
                <w:sz w:val="21"/>
                <w:szCs w:val="21"/>
                <w:lang w:val="en-US"/>
              </w:rPr>
            </w:pPr>
            <w:r>
              <w:rPr>
                <w:rFonts w:hint="eastAsia" w:cs="宋体"/>
                <w:sz w:val="21"/>
                <w:szCs w:val="21"/>
                <w:lang w:val="en-US"/>
              </w:rPr>
              <w:t>建设内容</w:t>
            </w:r>
          </w:p>
        </w:tc>
        <w:tc>
          <w:tcPr>
            <w:tcW w:w="8161" w:type="dxa"/>
          </w:tcPr>
          <w:p>
            <w:pPr>
              <w:adjustRightInd w:val="0"/>
              <w:snapToGrid w:val="0"/>
              <w:spacing w:line="460" w:lineRule="exact"/>
              <w:ind w:firstLine="482" w:firstLineChars="200"/>
              <w:rPr>
                <w:b/>
                <w:color w:val="000000"/>
                <w:sz w:val="24"/>
              </w:rPr>
            </w:pPr>
            <w:r>
              <w:rPr>
                <w:rFonts w:ascii="宋体" w:hAnsi="宋体"/>
                <w:b/>
                <w:bCs/>
                <w:color w:val="000000"/>
                <w:sz w:val="24"/>
              </w:rPr>
              <w:t>1、</w:t>
            </w:r>
            <w:r>
              <w:rPr>
                <w:b/>
                <w:color w:val="000000"/>
                <w:sz w:val="24"/>
              </w:rPr>
              <w:t>项目概况</w:t>
            </w:r>
          </w:p>
          <w:p>
            <w:pPr>
              <w:adjustRightInd w:val="0"/>
              <w:snapToGrid w:val="0"/>
              <w:spacing w:line="460" w:lineRule="exact"/>
              <w:ind w:firstLine="480" w:firstLineChars="200"/>
              <w:rPr>
                <w:color w:val="000000"/>
                <w:sz w:val="24"/>
              </w:rPr>
            </w:pPr>
            <w:r>
              <w:rPr>
                <w:color w:val="000000"/>
                <w:sz w:val="24"/>
              </w:rPr>
              <w:t>本项目选址位于</w:t>
            </w:r>
            <w:r>
              <w:rPr>
                <w:rFonts w:hint="eastAsia"/>
                <w:color w:val="000000"/>
                <w:sz w:val="24"/>
              </w:rPr>
              <w:t>新乡市获嘉县亢村镇产业新城纬八路2</w:t>
            </w:r>
            <w:r>
              <w:rPr>
                <w:color w:val="000000"/>
                <w:sz w:val="24"/>
              </w:rPr>
              <w:t>号，</w:t>
            </w:r>
            <w:r>
              <w:rPr>
                <w:rFonts w:hint="eastAsia"/>
                <w:color w:val="000000"/>
                <w:sz w:val="24"/>
              </w:rPr>
              <w:t>利用现有厂房</w:t>
            </w:r>
            <w:r>
              <w:rPr>
                <w:color w:val="000000"/>
                <w:sz w:val="24"/>
              </w:rPr>
              <w:t>进行生产。项目的基本情况见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color w:val="000000"/>
                <w:sz w:val="24"/>
              </w:rPr>
              <w:t>9</w:t>
            </w:r>
            <w:r>
              <w:rPr>
                <w:rFonts w:eastAsia="黑体"/>
                <w:color w:val="000000"/>
                <w:sz w:val="24"/>
                <w:lang w:val="pt-BR"/>
              </w:rPr>
              <w:t xml:space="preserve">                   项目概况一览表</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5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1701" w:type="dxa"/>
                  <w:tcBorders>
                    <w:top w:val="single" w:color="auto" w:sz="8" w:space="0"/>
                  </w:tcBorders>
                  <w:vAlign w:val="center"/>
                </w:tcPr>
                <w:p>
                  <w:pPr>
                    <w:jc w:val="center"/>
                    <w:rPr>
                      <w:b/>
                      <w:color w:val="000000"/>
                      <w:szCs w:val="21"/>
                      <w:lang w:val="pt-BR"/>
                    </w:rPr>
                  </w:pPr>
                  <w:r>
                    <w:rPr>
                      <w:b/>
                      <w:color w:val="000000"/>
                      <w:szCs w:val="21"/>
                      <w:lang w:val="pt-BR"/>
                    </w:rPr>
                    <w:t>项目</w:t>
                  </w:r>
                </w:p>
              </w:tc>
              <w:tc>
                <w:tcPr>
                  <w:tcW w:w="5545" w:type="dxa"/>
                  <w:tcBorders>
                    <w:top w:val="single" w:color="auto" w:sz="8" w:space="0"/>
                  </w:tcBorders>
                  <w:vAlign w:val="center"/>
                </w:tcPr>
                <w:p>
                  <w:pPr>
                    <w:jc w:val="center"/>
                    <w:rPr>
                      <w:b/>
                      <w:color w:val="000000"/>
                      <w:szCs w:val="21"/>
                      <w:highlight w:val="yellow"/>
                      <w:lang w:val="pt-BR"/>
                    </w:rPr>
                  </w:pPr>
                  <w:r>
                    <w:rPr>
                      <w:b/>
                      <w:color w:val="000000"/>
                      <w:szCs w:val="21"/>
                      <w:lang w:val="pt-BR"/>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1</w:t>
                  </w:r>
                </w:p>
              </w:tc>
              <w:tc>
                <w:tcPr>
                  <w:tcW w:w="1701" w:type="dxa"/>
                  <w:vAlign w:val="center"/>
                </w:tcPr>
                <w:p>
                  <w:pPr>
                    <w:jc w:val="center"/>
                    <w:rPr>
                      <w:color w:val="000000"/>
                      <w:szCs w:val="21"/>
                    </w:rPr>
                  </w:pPr>
                  <w:r>
                    <w:rPr>
                      <w:color w:val="000000"/>
                      <w:szCs w:val="21"/>
                    </w:rPr>
                    <w:t>项目名称</w:t>
                  </w:r>
                </w:p>
              </w:tc>
              <w:tc>
                <w:tcPr>
                  <w:tcW w:w="5545" w:type="dxa"/>
                  <w:vAlign w:val="center"/>
                </w:tcPr>
                <w:p>
                  <w:pPr>
                    <w:jc w:val="center"/>
                    <w:rPr>
                      <w:color w:val="000000"/>
                      <w:szCs w:val="21"/>
                    </w:rPr>
                  </w:pPr>
                  <w:r>
                    <w:rPr>
                      <w:rFonts w:hint="eastAsia"/>
                      <w:color w:val="000000"/>
                      <w:szCs w:val="21"/>
                    </w:rPr>
                    <w:t>年产1</w:t>
                  </w:r>
                  <w:r>
                    <w:rPr>
                      <w:color w:val="000000"/>
                      <w:szCs w:val="21"/>
                    </w:rPr>
                    <w:t>000</w:t>
                  </w:r>
                  <w:r>
                    <w:rPr>
                      <w:rFonts w:hint="eastAsia"/>
                      <w:color w:val="000000"/>
                      <w:szCs w:val="21"/>
                    </w:rPr>
                    <w:t>万支口罩建设项目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2</w:t>
                  </w:r>
                </w:p>
              </w:tc>
              <w:tc>
                <w:tcPr>
                  <w:tcW w:w="1701" w:type="dxa"/>
                  <w:vAlign w:val="center"/>
                </w:tcPr>
                <w:p>
                  <w:pPr>
                    <w:jc w:val="center"/>
                    <w:rPr>
                      <w:color w:val="000000"/>
                      <w:szCs w:val="21"/>
                    </w:rPr>
                  </w:pPr>
                  <w:r>
                    <w:rPr>
                      <w:color w:val="000000"/>
                      <w:szCs w:val="21"/>
                    </w:rPr>
                    <w:t>建设单位</w:t>
                  </w:r>
                </w:p>
              </w:tc>
              <w:tc>
                <w:tcPr>
                  <w:tcW w:w="5545" w:type="dxa"/>
                  <w:vAlign w:val="center"/>
                </w:tcPr>
                <w:p>
                  <w:pPr>
                    <w:jc w:val="center"/>
                    <w:rPr>
                      <w:color w:val="000000"/>
                      <w:szCs w:val="21"/>
                    </w:rPr>
                  </w:pPr>
                  <w:r>
                    <w:rPr>
                      <w:rFonts w:hint="eastAsia"/>
                      <w:color w:val="000000"/>
                      <w:szCs w:val="21"/>
                    </w:rPr>
                    <w:t>河南意诺康医疗器械有限公司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3</w:t>
                  </w:r>
                </w:p>
              </w:tc>
              <w:tc>
                <w:tcPr>
                  <w:tcW w:w="1701" w:type="dxa"/>
                  <w:vAlign w:val="center"/>
                </w:tcPr>
                <w:p>
                  <w:pPr>
                    <w:jc w:val="center"/>
                    <w:rPr>
                      <w:color w:val="000000"/>
                      <w:szCs w:val="21"/>
                    </w:rPr>
                  </w:pPr>
                  <w:r>
                    <w:rPr>
                      <w:color w:val="000000"/>
                      <w:szCs w:val="21"/>
                    </w:rPr>
                    <w:t>产品方案</w:t>
                  </w:r>
                </w:p>
              </w:tc>
              <w:tc>
                <w:tcPr>
                  <w:tcW w:w="5545" w:type="dxa"/>
                  <w:vAlign w:val="center"/>
                </w:tcPr>
                <w:p>
                  <w:pPr>
                    <w:jc w:val="center"/>
                    <w:rPr>
                      <w:color w:val="000000"/>
                      <w:szCs w:val="21"/>
                    </w:rPr>
                  </w:pPr>
                  <w:r>
                    <w:rPr>
                      <w:rFonts w:hint="eastAsia"/>
                      <w:color w:val="000000"/>
                      <w:szCs w:val="21"/>
                    </w:rPr>
                    <w:t>医用口罩1</w:t>
                  </w:r>
                  <w:r>
                    <w:rPr>
                      <w:color w:val="000000"/>
                      <w:szCs w:val="21"/>
                    </w:rPr>
                    <w:t>000</w:t>
                  </w:r>
                  <w:r>
                    <w:rPr>
                      <w:rFonts w:hint="eastAsia"/>
                      <w:color w:val="000000"/>
                      <w:szCs w:val="21"/>
                    </w:rPr>
                    <w:t>万支/年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4</w:t>
                  </w:r>
                </w:p>
              </w:tc>
              <w:tc>
                <w:tcPr>
                  <w:tcW w:w="1701" w:type="dxa"/>
                  <w:vAlign w:val="center"/>
                </w:tcPr>
                <w:p>
                  <w:pPr>
                    <w:jc w:val="center"/>
                    <w:rPr>
                      <w:color w:val="000000"/>
                      <w:szCs w:val="21"/>
                    </w:rPr>
                  </w:pPr>
                  <w:r>
                    <w:rPr>
                      <w:color w:val="000000"/>
                      <w:szCs w:val="21"/>
                    </w:rPr>
                    <w:t>项目地址</w:t>
                  </w:r>
                </w:p>
              </w:tc>
              <w:tc>
                <w:tcPr>
                  <w:tcW w:w="5545" w:type="dxa"/>
                  <w:vAlign w:val="center"/>
                </w:tcPr>
                <w:p>
                  <w:pPr>
                    <w:jc w:val="center"/>
                    <w:rPr>
                      <w:color w:val="000000"/>
                      <w:szCs w:val="21"/>
                    </w:rPr>
                  </w:pPr>
                  <w:r>
                    <w:rPr>
                      <w:rFonts w:hint="eastAsia"/>
                      <w:color w:val="000000"/>
                      <w:szCs w:val="21"/>
                    </w:rPr>
                    <w:t>新乡市获嘉县亢村镇产业新城纬八路2</w:t>
                  </w:r>
                  <w:r>
                    <w:rPr>
                      <w:color w:val="000000"/>
                      <w:szCs w:val="21"/>
                    </w:rPr>
                    <w:t>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5</w:t>
                  </w:r>
                </w:p>
              </w:tc>
              <w:tc>
                <w:tcPr>
                  <w:tcW w:w="1701" w:type="dxa"/>
                  <w:vAlign w:val="center"/>
                </w:tcPr>
                <w:p>
                  <w:pPr>
                    <w:jc w:val="center"/>
                    <w:rPr>
                      <w:color w:val="000000"/>
                      <w:szCs w:val="21"/>
                    </w:rPr>
                  </w:pPr>
                  <w:r>
                    <w:rPr>
                      <w:color w:val="000000"/>
                      <w:szCs w:val="21"/>
                    </w:rPr>
                    <w:t>占地面积</w:t>
                  </w:r>
                </w:p>
              </w:tc>
              <w:tc>
                <w:tcPr>
                  <w:tcW w:w="5545" w:type="dxa"/>
                  <w:vAlign w:val="center"/>
                </w:tcPr>
                <w:p>
                  <w:pPr>
                    <w:jc w:val="center"/>
                    <w:rPr>
                      <w:color w:val="000000"/>
                      <w:szCs w:val="21"/>
                    </w:rPr>
                  </w:pPr>
                  <w:r>
                    <w:rPr>
                      <w:rFonts w:hint="eastAsia"/>
                      <w:color w:val="000000"/>
                      <w:szCs w:val="21"/>
                    </w:rPr>
                    <w:t>本项目不新增用地，涉及使用面积1</w:t>
                  </w:r>
                  <w:r>
                    <w:rPr>
                      <w:color w:val="000000"/>
                      <w:szCs w:val="21"/>
                    </w:rPr>
                    <w:t>500m</w:t>
                  </w:r>
                  <w:r>
                    <w:rPr>
                      <w:color w:val="000000"/>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color w:val="000000"/>
                      <w:szCs w:val="21"/>
                    </w:rPr>
                    <w:t>6</w:t>
                  </w:r>
                </w:p>
              </w:tc>
              <w:tc>
                <w:tcPr>
                  <w:tcW w:w="1701" w:type="dxa"/>
                  <w:vAlign w:val="center"/>
                </w:tcPr>
                <w:p>
                  <w:pPr>
                    <w:jc w:val="center"/>
                    <w:rPr>
                      <w:color w:val="000000"/>
                      <w:szCs w:val="21"/>
                    </w:rPr>
                  </w:pPr>
                  <w:r>
                    <w:rPr>
                      <w:color w:val="000000"/>
                      <w:szCs w:val="21"/>
                    </w:rPr>
                    <w:t>总投资（万元）</w:t>
                  </w:r>
                </w:p>
              </w:tc>
              <w:tc>
                <w:tcPr>
                  <w:tcW w:w="5545" w:type="dxa"/>
                  <w:vAlign w:val="center"/>
                </w:tcPr>
                <w:p>
                  <w:pPr>
                    <w:jc w:val="center"/>
                    <w:rPr>
                      <w:color w:val="000000"/>
                      <w:szCs w:val="21"/>
                    </w:rPr>
                  </w:pPr>
                  <w:r>
                    <w:rPr>
                      <w:rFonts w:hint="eastAsia"/>
                      <w:color w:val="000000"/>
                      <w:szCs w:val="21"/>
                    </w:rPr>
                    <w:t>5</w:t>
                  </w:r>
                  <w:r>
                    <w:rPr>
                      <w:color w:val="000000"/>
                      <w:szCs w:val="21"/>
                    </w:rPr>
                    <w:t>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color w:val="000000"/>
                      <w:szCs w:val="21"/>
                    </w:rPr>
                  </w:pPr>
                  <w:r>
                    <w:rPr>
                      <w:rFonts w:hint="eastAsia"/>
                      <w:color w:val="000000"/>
                      <w:szCs w:val="21"/>
                    </w:rPr>
                    <w:t>7</w:t>
                  </w:r>
                </w:p>
              </w:tc>
              <w:tc>
                <w:tcPr>
                  <w:tcW w:w="1701" w:type="dxa"/>
                  <w:vAlign w:val="center"/>
                </w:tcPr>
                <w:p>
                  <w:pPr>
                    <w:jc w:val="center"/>
                    <w:rPr>
                      <w:color w:val="000000"/>
                      <w:szCs w:val="21"/>
                    </w:rPr>
                  </w:pPr>
                  <w:r>
                    <w:rPr>
                      <w:color w:val="000000"/>
                      <w:szCs w:val="21"/>
                    </w:rPr>
                    <w:t>主要工艺</w:t>
                  </w:r>
                </w:p>
              </w:tc>
              <w:tc>
                <w:tcPr>
                  <w:tcW w:w="5545" w:type="dxa"/>
                  <w:vAlign w:val="center"/>
                </w:tcPr>
                <w:p>
                  <w:pPr>
                    <w:jc w:val="center"/>
                    <w:rPr>
                      <w:color w:val="000000"/>
                      <w:szCs w:val="21"/>
                    </w:rPr>
                  </w:pPr>
                  <w:r>
                    <w:rPr>
                      <w:rFonts w:hint="eastAsia"/>
                      <w:color w:val="000000"/>
                      <w:szCs w:val="21"/>
                    </w:rPr>
                    <w:t>原材料检验-复合折叠</w:t>
                  </w:r>
                  <w:r>
                    <w:rPr>
                      <w:color w:val="000000"/>
                      <w:szCs w:val="21"/>
                    </w:rPr>
                    <w:t>—</w:t>
                  </w:r>
                  <w:r>
                    <w:rPr>
                      <w:rFonts w:hint="eastAsia"/>
                      <w:color w:val="000000"/>
                      <w:szCs w:val="21"/>
                    </w:rPr>
                    <w:t>成型切片-上带-内包装-过程检验-外包装-灭菌解析-成品检验-入库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Borders>
                    <w:bottom w:val="single" w:color="auto" w:sz="8" w:space="0"/>
                  </w:tcBorders>
                  <w:vAlign w:val="center"/>
                </w:tcPr>
                <w:p>
                  <w:pPr>
                    <w:jc w:val="center"/>
                    <w:rPr>
                      <w:color w:val="000000"/>
                      <w:szCs w:val="21"/>
                    </w:rPr>
                  </w:pPr>
                  <w:r>
                    <w:rPr>
                      <w:rFonts w:hint="eastAsia"/>
                      <w:color w:val="000000"/>
                      <w:szCs w:val="21"/>
                    </w:rPr>
                    <w:t>8</w:t>
                  </w:r>
                </w:p>
              </w:tc>
              <w:tc>
                <w:tcPr>
                  <w:tcW w:w="1701" w:type="dxa"/>
                  <w:tcBorders>
                    <w:bottom w:val="single" w:color="auto" w:sz="8" w:space="0"/>
                  </w:tcBorders>
                  <w:vAlign w:val="center"/>
                </w:tcPr>
                <w:p>
                  <w:pPr>
                    <w:jc w:val="center"/>
                    <w:rPr>
                      <w:color w:val="000000"/>
                      <w:szCs w:val="21"/>
                    </w:rPr>
                  </w:pPr>
                  <w:r>
                    <w:rPr>
                      <w:color w:val="000000"/>
                      <w:szCs w:val="21"/>
                    </w:rPr>
                    <w:t>定员与工作制度</w:t>
                  </w:r>
                </w:p>
              </w:tc>
              <w:tc>
                <w:tcPr>
                  <w:tcW w:w="5545" w:type="dxa"/>
                  <w:tcBorders>
                    <w:bottom w:val="single" w:color="auto" w:sz="8" w:space="0"/>
                  </w:tcBorders>
                  <w:vAlign w:val="center"/>
                </w:tcPr>
                <w:p>
                  <w:pPr>
                    <w:jc w:val="center"/>
                    <w:rPr>
                      <w:color w:val="000000"/>
                      <w:szCs w:val="21"/>
                      <w:highlight w:val="yellow"/>
                    </w:rPr>
                  </w:pPr>
                  <w:r>
                    <w:rPr>
                      <w:rFonts w:hint="eastAsia"/>
                      <w:color w:val="000000"/>
                      <w:szCs w:val="21"/>
                    </w:rPr>
                    <w:t>新增员工</w:t>
                  </w:r>
                  <w:r>
                    <w:rPr>
                      <w:color w:val="000000"/>
                      <w:szCs w:val="21"/>
                    </w:rPr>
                    <w:t>16</w:t>
                  </w:r>
                  <w:r>
                    <w:rPr>
                      <w:rFonts w:hint="eastAsia"/>
                      <w:color w:val="000000"/>
                      <w:szCs w:val="21"/>
                    </w:rPr>
                    <w:t>人，单班制（每班8小时），年工作</w:t>
                  </w:r>
                  <w:r>
                    <w:rPr>
                      <w:color w:val="000000"/>
                      <w:szCs w:val="21"/>
                    </w:rPr>
                    <w:t>250</w:t>
                  </w:r>
                  <w:r>
                    <w:rPr>
                      <w:rFonts w:hint="eastAsia"/>
                      <w:color w:val="000000"/>
                      <w:szCs w:val="21"/>
                    </w:rPr>
                    <w:t>天</w:t>
                  </w:r>
                </w:p>
              </w:tc>
            </w:tr>
          </w:tbl>
          <w:p>
            <w:pPr>
              <w:adjustRightInd w:val="0"/>
              <w:snapToGrid w:val="0"/>
              <w:spacing w:line="460" w:lineRule="exact"/>
              <w:ind w:firstLine="480" w:firstLineChars="200"/>
              <w:rPr>
                <w:color w:val="000000"/>
                <w:sz w:val="24"/>
              </w:rPr>
            </w:pPr>
            <w:r>
              <w:rPr>
                <w:color w:val="000000"/>
                <w:sz w:val="24"/>
              </w:rPr>
              <w:t>本项目位于</w:t>
            </w:r>
            <w:r>
              <w:rPr>
                <w:rFonts w:hint="eastAsia"/>
                <w:color w:val="000000"/>
                <w:sz w:val="24"/>
              </w:rPr>
              <w:t>新乡市获嘉县亢村镇产业新城纬八路2</w:t>
            </w:r>
            <w:r>
              <w:rPr>
                <w:color w:val="000000"/>
                <w:sz w:val="24"/>
              </w:rPr>
              <w:t>号</w:t>
            </w:r>
            <w:r>
              <w:rPr>
                <w:rFonts w:hint="eastAsia"/>
                <w:color w:val="000000"/>
                <w:sz w:val="24"/>
              </w:rPr>
              <w:t>，利用现有厂房</w:t>
            </w:r>
            <w:r>
              <w:rPr>
                <w:color w:val="000000"/>
                <w:sz w:val="24"/>
              </w:rPr>
              <w:t>进行生产</w:t>
            </w:r>
            <w:r>
              <w:rPr>
                <w:rFonts w:hint="eastAsia"/>
                <w:color w:val="000000"/>
                <w:sz w:val="24"/>
              </w:rPr>
              <w:t>，经现场踏勘，项目涉及未批先建，处罚手续详见附件</w:t>
            </w:r>
            <w:r>
              <w:rPr>
                <w:color w:val="000000"/>
                <w:sz w:val="24"/>
              </w:rPr>
              <w:t>4</w:t>
            </w:r>
            <w:r>
              <w:rPr>
                <w:rFonts w:hint="eastAsia"/>
                <w:color w:val="000000"/>
                <w:sz w:val="24"/>
              </w:rPr>
              <w:t>。</w:t>
            </w:r>
          </w:p>
          <w:p>
            <w:pPr>
              <w:adjustRightInd w:val="0"/>
              <w:snapToGrid w:val="0"/>
              <w:spacing w:line="460" w:lineRule="exact"/>
              <w:ind w:firstLine="482" w:firstLineChars="200"/>
              <w:rPr>
                <w:b/>
                <w:color w:val="000000"/>
                <w:sz w:val="24"/>
              </w:rPr>
            </w:pPr>
            <w:r>
              <w:rPr>
                <w:rFonts w:hint="eastAsia"/>
                <w:b/>
                <w:color w:val="000000"/>
                <w:sz w:val="24"/>
              </w:rPr>
              <w:t>2</w:t>
            </w:r>
            <w:r>
              <w:rPr>
                <w:b/>
                <w:color w:val="000000"/>
                <w:sz w:val="24"/>
              </w:rPr>
              <w:t>、项目组成情况</w:t>
            </w:r>
          </w:p>
          <w:p>
            <w:pPr>
              <w:adjustRightInd w:val="0"/>
              <w:snapToGrid w:val="0"/>
              <w:spacing w:line="460" w:lineRule="exact"/>
              <w:ind w:firstLine="480" w:firstLineChars="200"/>
              <w:rPr>
                <w:color w:val="000000"/>
                <w:sz w:val="24"/>
              </w:rPr>
            </w:pPr>
            <w:r>
              <w:rPr>
                <w:color w:val="000000"/>
                <w:sz w:val="24"/>
              </w:rPr>
              <w:t>该项目主要组成及建设情况见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bCs/>
                <w:color w:val="000000"/>
                <w:sz w:val="24"/>
              </w:rPr>
              <w:t xml:space="preserve">表10                  </w:t>
            </w:r>
            <w:r>
              <w:rPr>
                <w:rFonts w:hint="eastAsia" w:eastAsia="黑体"/>
                <w:bCs/>
                <w:color w:val="000000"/>
                <w:sz w:val="24"/>
              </w:rPr>
              <w:t xml:space="preserve"> </w:t>
            </w:r>
            <w:r>
              <w:rPr>
                <w:rFonts w:eastAsia="黑体"/>
                <w:bCs/>
                <w:color w:val="000000"/>
                <w:sz w:val="24"/>
              </w:rPr>
              <w:t>项目组成一览表</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7"/>
              <w:gridCol w:w="587"/>
              <w:gridCol w:w="709"/>
              <w:gridCol w:w="714"/>
              <w:gridCol w:w="993"/>
              <w:gridCol w:w="3685"/>
              <w:gridCol w:w="7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587" w:type="dxa"/>
                  <w:tcBorders>
                    <w:top w:val="single" w:color="auto" w:sz="8" w:space="0"/>
                  </w:tcBorders>
                  <w:vAlign w:val="center"/>
                </w:tcPr>
                <w:p>
                  <w:pPr>
                    <w:jc w:val="center"/>
                    <w:rPr>
                      <w:b/>
                      <w:color w:val="000000"/>
                      <w:szCs w:val="21"/>
                      <w:lang w:val="pt-BR"/>
                    </w:rPr>
                  </w:pPr>
                  <w:r>
                    <w:rPr>
                      <w:b/>
                      <w:color w:val="000000"/>
                      <w:szCs w:val="21"/>
                      <w:lang w:val="pt-BR"/>
                    </w:rPr>
                    <w:t>项目</w:t>
                  </w:r>
                </w:p>
              </w:tc>
              <w:tc>
                <w:tcPr>
                  <w:tcW w:w="709" w:type="dxa"/>
                  <w:tcBorders>
                    <w:top w:val="single" w:color="auto" w:sz="8" w:space="0"/>
                  </w:tcBorders>
                  <w:vAlign w:val="center"/>
                </w:tcPr>
                <w:p>
                  <w:pPr>
                    <w:jc w:val="center"/>
                    <w:rPr>
                      <w:b/>
                      <w:color w:val="000000"/>
                      <w:szCs w:val="21"/>
                      <w:lang w:val="pt-BR"/>
                    </w:rPr>
                  </w:pPr>
                  <w:r>
                    <w:rPr>
                      <w:b/>
                      <w:color w:val="000000"/>
                      <w:szCs w:val="21"/>
                      <w:lang w:val="pt-BR"/>
                    </w:rPr>
                    <w:t>内容</w:t>
                  </w:r>
                </w:p>
              </w:tc>
              <w:tc>
                <w:tcPr>
                  <w:tcW w:w="5392" w:type="dxa"/>
                  <w:gridSpan w:val="3"/>
                  <w:tcBorders>
                    <w:top w:val="single" w:color="auto" w:sz="8" w:space="0"/>
                  </w:tcBorders>
                  <w:vAlign w:val="center"/>
                </w:tcPr>
                <w:p>
                  <w:pPr>
                    <w:jc w:val="center"/>
                    <w:rPr>
                      <w:b/>
                      <w:color w:val="000000"/>
                      <w:szCs w:val="21"/>
                      <w:lang w:val="pt-BR"/>
                    </w:rPr>
                  </w:pPr>
                  <w:r>
                    <w:rPr>
                      <w:b/>
                      <w:color w:val="000000"/>
                      <w:szCs w:val="21"/>
                      <w:lang w:val="pt-BR"/>
                    </w:rPr>
                    <w:t>数量、规模或要求</w:t>
                  </w:r>
                </w:p>
              </w:tc>
              <w:tc>
                <w:tcPr>
                  <w:tcW w:w="720" w:type="dxa"/>
                  <w:tcBorders>
                    <w:top w:val="single" w:color="auto" w:sz="8" w:space="0"/>
                  </w:tcBorders>
                  <w:vAlign w:val="center"/>
                </w:tcPr>
                <w:p>
                  <w:pPr>
                    <w:jc w:val="center"/>
                    <w:rPr>
                      <w:b/>
                      <w:color w:val="000000"/>
                      <w:szCs w:val="21"/>
                      <w:lang w:val="pt-BR"/>
                    </w:rPr>
                  </w:pPr>
                  <w:r>
                    <w:rPr>
                      <w:b/>
                      <w:color w:val="000000"/>
                      <w:szCs w:val="21"/>
                      <w:lang w:val="pt-B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Align w:val="center"/>
                </w:tcPr>
                <w:p>
                  <w:pPr>
                    <w:jc w:val="center"/>
                    <w:rPr>
                      <w:color w:val="000000"/>
                      <w:szCs w:val="21"/>
                      <w:lang w:val="pt-BR"/>
                    </w:rPr>
                  </w:pPr>
                  <w:r>
                    <w:rPr>
                      <w:color w:val="000000"/>
                      <w:szCs w:val="21"/>
                      <w:lang w:val="pt-BR"/>
                    </w:rPr>
                    <w:t>1</w:t>
                  </w:r>
                </w:p>
              </w:tc>
              <w:tc>
                <w:tcPr>
                  <w:tcW w:w="587" w:type="dxa"/>
                  <w:vAlign w:val="center"/>
                </w:tcPr>
                <w:p>
                  <w:pPr>
                    <w:jc w:val="center"/>
                    <w:rPr>
                      <w:color w:val="000000"/>
                      <w:szCs w:val="21"/>
                      <w:lang w:val="pt-BR"/>
                    </w:rPr>
                  </w:pPr>
                  <w:r>
                    <w:rPr>
                      <w:color w:val="000000"/>
                      <w:szCs w:val="21"/>
                      <w:lang w:val="pt-BR"/>
                    </w:rPr>
                    <w:t>主体工程</w:t>
                  </w:r>
                </w:p>
              </w:tc>
              <w:tc>
                <w:tcPr>
                  <w:tcW w:w="709" w:type="dxa"/>
                  <w:vAlign w:val="center"/>
                </w:tcPr>
                <w:p>
                  <w:pPr>
                    <w:contextualSpacing/>
                    <w:jc w:val="center"/>
                    <w:textAlignment w:val="baseline"/>
                    <w:rPr>
                      <w:color w:val="000000"/>
                      <w:kern w:val="0"/>
                      <w:szCs w:val="21"/>
                    </w:rPr>
                  </w:pPr>
                  <w:r>
                    <w:rPr>
                      <w:color w:val="000000"/>
                      <w:kern w:val="0"/>
                      <w:szCs w:val="21"/>
                    </w:rPr>
                    <w:t>车间</w:t>
                  </w:r>
                </w:p>
              </w:tc>
              <w:tc>
                <w:tcPr>
                  <w:tcW w:w="5392" w:type="dxa"/>
                  <w:gridSpan w:val="3"/>
                  <w:vAlign w:val="center"/>
                </w:tcPr>
                <w:p>
                  <w:pPr>
                    <w:contextualSpacing/>
                    <w:jc w:val="center"/>
                    <w:textAlignment w:val="baseline"/>
                    <w:rPr>
                      <w:color w:val="000000"/>
                      <w:kern w:val="0"/>
                      <w:szCs w:val="21"/>
                    </w:rPr>
                  </w:pPr>
                  <w:r>
                    <w:rPr>
                      <w:color w:val="000000"/>
                      <w:kern w:val="0"/>
                      <w:szCs w:val="21"/>
                    </w:rPr>
                    <w:t>1座，2</w:t>
                  </w:r>
                  <w:r>
                    <w:rPr>
                      <w:rFonts w:hint="eastAsia"/>
                      <w:color w:val="000000"/>
                      <w:kern w:val="0"/>
                      <w:szCs w:val="21"/>
                    </w:rPr>
                    <w:t>F</w:t>
                  </w:r>
                  <w:r>
                    <w:rPr>
                      <w:color w:val="000000"/>
                      <w:kern w:val="0"/>
                      <w:szCs w:val="21"/>
                    </w:rPr>
                    <w:t>，</w:t>
                  </w:r>
                  <w:r>
                    <w:rPr>
                      <w:rFonts w:hint="eastAsia"/>
                      <w:color w:val="000000"/>
                      <w:kern w:val="0"/>
                      <w:szCs w:val="21"/>
                    </w:rPr>
                    <w:t>建筑</w:t>
                  </w:r>
                  <w:r>
                    <w:rPr>
                      <w:color w:val="000000"/>
                      <w:kern w:val="0"/>
                      <w:szCs w:val="21"/>
                    </w:rPr>
                    <w:t>面积</w:t>
                  </w:r>
                  <w:r>
                    <w:rPr>
                      <w:rFonts w:eastAsia="等线 Light"/>
                      <w:color w:val="000000"/>
                      <w:kern w:val="36"/>
                      <w:szCs w:val="21"/>
                    </w:rPr>
                    <w:t>11800m</w:t>
                  </w:r>
                  <w:r>
                    <w:rPr>
                      <w:rFonts w:eastAsia="等线 Light"/>
                      <w:color w:val="000000"/>
                      <w:kern w:val="36"/>
                      <w:szCs w:val="21"/>
                      <w:vertAlign w:val="superscript"/>
                    </w:rPr>
                    <w:t>2</w:t>
                  </w:r>
                  <w:r>
                    <w:rPr>
                      <w:rFonts w:hint="eastAsia"/>
                      <w:color w:val="000000"/>
                      <w:kern w:val="0"/>
                      <w:szCs w:val="21"/>
                    </w:rPr>
                    <w:t>；</w:t>
                  </w:r>
                </w:p>
                <w:p>
                  <w:pPr>
                    <w:contextualSpacing/>
                    <w:jc w:val="center"/>
                    <w:textAlignment w:val="baseline"/>
                    <w:rPr>
                      <w:color w:val="000000"/>
                      <w:kern w:val="0"/>
                      <w:szCs w:val="21"/>
                    </w:rPr>
                  </w:pPr>
                  <w:r>
                    <w:rPr>
                      <w:rFonts w:hint="eastAsia"/>
                      <w:color w:val="000000"/>
                      <w:kern w:val="0"/>
                      <w:szCs w:val="21"/>
                    </w:rPr>
                    <w:t>（本项目使用1层，涉及使用面积为1</w:t>
                  </w:r>
                  <w:r>
                    <w:rPr>
                      <w:color w:val="000000"/>
                      <w:kern w:val="0"/>
                      <w:szCs w:val="21"/>
                    </w:rPr>
                    <w:t>500m</w:t>
                  </w:r>
                  <w:r>
                    <w:rPr>
                      <w:color w:val="000000"/>
                      <w:kern w:val="0"/>
                      <w:szCs w:val="21"/>
                      <w:vertAlign w:val="superscript"/>
                    </w:rPr>
                    <w:t>2</w:t>
                  </w:r>
                  <w:r>
                    <w:rPr>
                      <w:rFonts w:hint="eastAsia"/>
                      <w:color w:val="000000"/>
                      <w:kern w:val="0"/>
                      <w:szCs w:val="21"/>
                    </w:rPr>
                    <w:t>）</w:t>
                  </w:r>
                </w:p>
              </w:tc>
              <w:tc>
                <w:tcPr>
                  <w:tcW w:w="720" w:type="dxa"/>
                  <w:vAlign w:val="center"/>
                </w:tcPr>
                <w:p>
                  <w:pPr>
                    <w:jc w:val="center"/>
                    <w:rPr>
                      <w:color w:val="000000"/>
                      <w:szCs w:val="21"/>
                    </w:rPr>
                  </w:pPr>
                  <w:r>
                    <w:rPr>
                      <w:rFonts w:hint="eastAsia"/>
                      <w:color w:val="000000"/>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Align w:val="center"/>
                </w:tcPr>
                <w:p>
                  <w:pPr>
                    <w:jc w:val="center"/>
                    <w:rPr>
                      <w:color w:val="000000"/>
                      <w:szCs w:val="21"/>
                      <w:lang w:val="pt-BR"/>
                    </w:rPr>
                  </w:pPr>
                  <w:r>
                    <w:rPr>
                      <w:rFonts w:hint="eastAsia"/>
                      <w:color w:val="000000"/>
                      <w:szCs w:val="21"/>
                      <w:lang w:val="pt-BR"/>
                    </w:rPr>
                    <w:t>2</w:t>
                  </w:r>
                </w:p>
              </w:tc>
              <w:tc>
                <w:tcPr>
                  <w:tcW w:w="587" w:type="dxa"/>
                  <w:vAlign w:val="center"/>
                </w:tcPr>
                <w:p>
                  <w:pPr>
                    <w:jc w:val="center"/>
                    <w:rPr>
                      <w:color w:val="000000"/>
                      <w:szCs w:val="21"/>
                      <w:lang w:val="pt-BR"/>
                    </w:rPr>
                  </w:pPr>
                  <w:r>
                    <w:rPr>
                      <w:color w:val="000000"/>
                      <w:szCs w:val="21"/>
                      <w:lang w:val="pt-BR"/>
                    </w:rPr>
                    <w:t>辅助工程</w:t>
                  </w:r>
                </w:p>
              </w:tc>
              <w:tc>
                <w:tcPr>
                  <w:tcW w:w="709" w:type="dxa"/>
                  <w:vAlign w:val="center"/>
                </w:tcPr>
                <w:p>
                  <w:pPr>
                    <w:contextualSpacing/>
                    <w:jc w:val="center"/>
                    <w:textAlignment w:val="baseline"/>
                    <w:rPr>
                      <w:color w:val="000000"/>
                      <w:kern w:val="0"/>
                      <w:szCs w:val="21"/>
                    </w:rPr>
                  </w:pPr>
                  <w:r>
                    <w:rPr>
                      <w:color w:val="000000"/>
                      <w:kern w:val="0"/>
                      <w:szCs w:val="21"/>
                    </w:rPr>
                    <w:t>办公室</w:t>
                  </w:r>
                </w:p>
              </w:tc>
              <w:tc>
                <w:tcPr>
                  <w:tcW w:w="5392" w:type="dxa"/>
                  <w:gridSpan w:val="3"/>
                  <w:vAlign w:val="center"/>
                </w:tcPr>
                <w:p>
                  <w:pPr>
                    <w:contextualSpacing/>
                    <w:jc w:val="center"/>
                    <w:textAlignment w:val="baseline"/>
                    <w:rPr>
                      <w:color w:val="000000"/>
                      <w:kern w:val="0"/>
                      <w:szCs w:val="21"/>
                    </w:rPr>
                  </w:pPr>
                  <w:r>
                    <w:rPr>
                      <w:color w:val="000000"/>
                      <w:kern w:val="0"/>
                      <w:szCs w:val="21"/>
                    </w:rPr>
                    <w:t>1座，6F，</w:t>
                  </w:r>
                  <w:r>
                    <w:rPr>
                      <w:rFonts w:hint="eastAsia"/>
                      <w:color w:val="000000"/>
                      <w:kern w:val="0"/>
                      <w:szCs w:val="21"/>
                    </w:rPr>
                    <w:t>建筑</w:t>
                  </w:r>
                  <w:r>
                    <w:rPr>
                      <w:color w:val="000000"/>
                      <w:kern w:val="0"/>
                      <w:szCs w:val="21"/>
                    </w:rPr>
                    <w:t>面积5800m</w:t>
                  </w:r>
                  <w:r>
                    <w:rPr>
                      <w:color w:val="000000"/>
                      <w:kern w:val="0"/>
                      <w:szCs w:val="21"/>
                      <w:vertAlign w:val="superscript"/>
                    </w:rPr>
                    <w:t>2</w:t>
                  </w:r>
                </w:p>
              </w:tc>
              <w:tc>
                <w:tcPr>
                  <w:tcW w:w="720" w:type="dxa"/>
                  <w:vAlign w:val="center"/>
                </w:tcPr>
                <w:p>
                  <w:pPr>
                    <w:jc w:val="center"/>
                    <w:rPr>
                      <w:color w:val="000000"/>
                      <w:szCs w:val="21"/>
                    </w:rPr>
                  </w:pPr>
                  <w:r>
                    <w:rPr>
                      <w:rFonts w:hint="eastAsia"/>
                      <w:color w:val="000000"/>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restart"/>
                  <w:vAlign w:val="center"/>
                </w:tcPr>
                <w:p>
                  <w:pPr>
                    <w:jc w:val="center"/>
                    <w:rPr>
                      <w:color w:val="000000"/>
                      <w:szCs w:val="21"/>
                      <w:lang w:val="pt-BR"/>
                    </w:rPr>
                  </w:pPr>
                  <w:r>
                    <w:rPr>
                      <w:rFonts w:hint="eastAsia"/>
                      <w:color w:val="000000"/>
                      <w:szCs w:val="21"/>
                      <w:lang w:val="pt-BR"/>
                    </w:rPr>
                    <w:t>3</w:t>
                  </w:r>
                </w:p>
              </w:tc>
              <w:tc>
                <w:tcPr>
                  <w:tcW w:w="587" w:type="dxa"/>
                  <w:vMerge w:val="restart"/>
                  <w:vAlign w:val="center"/>
                </w:tcPr>
                <w:p>
                  <w:pPr>
                    <w:jc w:val="center"/>
                    <w:rPr>
                      <w:color w:val="000000"/>
                      <w:szCs w:val="21"/>
                      <w:lang w:val="pt-BR"/>
                    </w:rPr>
                  </w:pPr>
                  <w:r>
                    <w:rPr>
                      <w:color w:val="000000"/>
                      <w:szCs w:val="21"/>
                      <w:lang w:val="pt-BR"/>
                    </w:rPr>
                    <w:t>环保工程</w:t>
                  </w:r>
                </w:p>
              </w:tc>
              <w:tc>
                <w:tcPr>
                  <w:tcW w:w="709" w:type="dxa"/>
                  <w:vAlign w:val="center"/>
                </w:tcPr>
                <w:p>
                  <w:pPr>
                    <w:jc w:val="center"/>
                    <w:rPr>
                      <w:color w:val="000000"/>
                      <w:szCs w:val="21"/>
                      <w:lang w:val="pt-BR"/>
                    </w:rPr>
                  </w:pPr>
                  <w:r>
                    <w:rPr>
                      <w:color w:val="000000"/>
                      <w:szCs w:val="21"/>
                      <w:lang w:val="pt-BR"/>
                    </w:rPr>
                    <w:t>废水</w:t>
                  </w:r>
                </w:p>
              </w:tc>
              <w:tc>
                <w:tcPr>
                  <w:tcW w:w="5392" w:type="dxa"/>
                  <w:gridSpan w:val="3"/>
                  <w:vAlign w:val="center"/>
                </w:tcPr>
                <w:p>
                  <w:pPr>
                    <w:contextualSpacing/>
                    <w:jc w:val="center"/>
                    <w:textAlignment w:val="baseline"/>
                    <w:rPr>
                      <w:bCs/>
                      <w:highlight w:val="yellow"/>
                    </w:rPr>
                  </w:pPr>
                  <w:r>
                    <w:rPr>
                      <w:rFonts w:hint="eastAsia"/>
                      <w:color w:val="000000"/>
                      <w:szCs w:val="21"/>
                    </w:rPr>
                    <w:t>生活污水：</w:t>
                  </w:r>
                  <w:r>
                    <w:rPr>
                      <w:color w:val="000000"/>
                      <w:kern w:val="0"/>
                      <w:szCs w:val="21"/>
                    </w:rPr>
                    <w:t>化粪池</w:t>
                  </w:r>
                  <w:r>
                    <w:rPr>
                      <w:rFonts w:hint="eastAsia"/>
                      <w:color w:val="000000"/>
                      <w:kern w:val="0"/>
                      <w:szCs w:val="21"/>
                    </w:rPr>
                    <w:t>1座</w:t>
                  </w:r>
                </w:p>
              </w:tc>
              <w:tc>
                <w:tcPr>
                  <w:tcW w:w="720" w:type="dxa"/>
                  <w:vAlign w:val="center"/>
                </w:tcPr>
                <w:p>
                  <w:pPr>
                    <w:jc w:val="center"/>
                    <w:rPr>
                      <w:color w:val="000000"/>
                      <w:szCs w:val="21"/>
                    </w:rPr>
                  </w:pPr>
                  <w:r>
                    <w:rPr>
                      <w:rFonts w:hint="eastAsia"/>
                      <w:color w:val="000000"/>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lang w:val="pt-BR"/>
                    </w:rPr>
                  </w:pPr>
                </w:p>
              </w:tc>
              <w:tc>
                <w:tcPr>
                  <w:tcW w:w="587" w:type="dxa"/>
                  <w:vMerge w:val="continue"/>
                  <w:vAlign w:val="center"/>
                </w:tcPr>
                <w:p>
                  <w:pPr>
                    <w:jc w:val="center"/>
                    <w:rPr>
                      <w:color w:val="000000"/>
                      <w:szCs w:val="21"/>
                      <w:lang w:val="pt-BR"/>
                    </w:rPr>
                  </w:pPr>
                </w:p>
              </w:tc>
              <w:tc>
                <w:tcPr>
                  <w:tcW w:w="709" w:type="dxa"/>
                  <w:vMerge w:val="restart"/>
                  <w:vAlign w:val="center"/>
                </w:tcPr>
                <w:p>
                  <w:pPr>
                    <w:jc w:val="center"/>
                    <w:rPr>
                      <w:color w:val="000000"/>
                      <w:szCs w:val="21"/>
                      <w:lang w:val="pt-BR"/>
                    </w:rPr>
                  </w:pPr>
                  <w:r>
                    <w:rPr>
                      <w:color w:val="000000"/>
                      <w:szCs w:val="21"/>
                      <w:lang w:val="pt-BR"/>
                    </w:rPr>
                    <w:t>废气</w:t>
                  </w:r>
                </w:p>
              </w:tc>
              <w:tc>
                <w:tcPr>
                  <w:tcW w:w="1707" w:type="dxa"/>
                  <w:gridSpan w:val="2"/>
                  <w:vAlign w:val="center"/>
                </w:tcPr>
                <w:p>
                  <w:pPr>
                    <w:contextualSpacing/>
                    <w:jc w:val="center"/>
                    <w:textAlignment w:val="baseline"/>
                    <w:rPr>
                      <w:bCs/>
                    </w:rPr>
                  </w:pPr>
                  <w:r>
                    <w:rPr>
                      <w:rFonts w:hint="eastAsia"/>
                      <w:color w:val="000000"/>
                      <w:szCs w:val="21"/>
                    </w:rPr>
                    <w:t>灭菌废气</w:t>
                  </w:r>
                </w:p>
              </w:tc>
              <w:tc>
                <w:tcPr>
                  <w:tcW w:w="3685" w:type="dxa"/>
                  <w:vAlign w:val="center"/>
                </w:tcPr>
                <w:p>
                  <w:pPr>
                    <w:contextualSpacing/>
                    <w:jc w:val="center"/>
                    <w:textAlignment w:val="baseline"/>
                    <w:rPr>
                      <w:bCs/>
                    </w:rPr>
                  </w:pPr>
                  <w:r>
                    <w:rPr>
                      <w:rFonts w:hint="eastAsia" w:cs="宋体"/>
                      <w:szCs w:val="21"/>
                    </w:rPr>
                    <w:t>负压密闭管道（</w:t>
                  </w:r>
                  <w:r>
                    <w:rPr>
                      <w:rFonts w:cs="宋体"/>
                      <w:szCs w:val="21"/>
                    </w:rPr>
                    <w:t>1</w:t>
                  </w:r>
                  <w:r>
                    <w:rPr>
                      <w:rFonts w:hint="eastAsia" w:cs="宋体"/>
                      <w:szCs w:val="21"/>
                    </w:rPr>
                    <w:t>套）+水喷淋装置（</w:t>
                  </w:r>
                  <w:r>
                    <w:rPr>
                      <w:rFonts w:cs="宋体"/>
                      <w:szCs w:val="21"/>
                    </w:rPr>
                    <w:t>1</w:t>
                  </w:r>
                  <w:r>
                    <w:rPr>
                      <w:rFonts w:hint="eastAsia" w:cs="宋体"/>
                      <w:szCs w:val="21"/>
                    </w:rPr>
                    <w:t>套）+</w:t>
                  </w:r>
                  <w:r>
                    <w:rPr>
                      <w:rFonts w:cs="宋体"/>
                      <w:szCs w:val="21"/>
                    </w:rPr>
                    <w:t>15</w:t>
                  </w:r>
                  <w:r>
                    <w:rPr>
                      <w:rFonts w:hint="eastAsia" w:cs="宋体"/>
                      <w:szCs w:val="21"/>
                    </w:rPr>
                    <w:t>m高排气筒P</w:t>
                  </w:r>
                  <w:r>
                    <w:rPr>
                      <w:rFonts w:cs="宋体"/>
                      <w:szCs w:val="21"/>
                    </w:rPr>
                    <w:t>2</w:t>
                  </w:r>
                  <w:r>
                    <w:rPr>
                      <w:rFonts w:hint="eastAsia" w:cs="宋体"/>
                      <w:szCs w:val="21"/>
                    </w:rPr>
                    <w:t>（</w:t>
                  </w:r>
                  <w:r>
                    <w:rPr>
                      <w:rFonts w:cs="宋体"/>
                      <w:szCs w:val="21"/>
                    </w:rPr>
                    <w:t>1</w:t>
                  </w:r>
                  <w:r>
                    <w:rPr>
                      <w:rFonts w:hint="eastAsia" w:cs="宋体"/>
                      <w:szCs w:val="21"/>
                    </w:rPr>
                    <w:t>根）</w:t>
                  </w:r>
                </w:p>
              </w:tc>
              <w:tc>
                <w:tcPr>
                  <w:tcW w:w="720" w:type="dxa"/>
                  <w:vAlign w:val="center"/>
                </w:tcPr>
                <w:p>
                  <w:pPr>
                    <w:jc w:val="center"/>
                    <w:rPr>
                      <w:color w:val="000000"/>
                      <w:szCs w:val="21"/>
                    </w:rPr>
                  </w:pPr>
                  <w:r>
                    <w:rPr>
                      <w:rFonts w:hint="eastAsia"/>
                      <w:color w:val="000000"/>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lang w:val="pt-BR"/>
                    </w:rPr>
                  </w:pPr>
                </w:p>
              </w:tc>
              <w:tc>
                <w:tcPr>
                  <w:tcW w:w="587" w:type="dxa"/>
                  <w:vMerge w:val="continue"/>
                  <w:vAlign w:val="center"/>
                </w:tcPr>
                <w:p>
                  <w:pPr>
                    <w:jc w:val="center"/>
                    <w:rPr>
                      <w:color w:val="000000"/>
                      <w:szCs w:val="21"/>
                      <w:lang w:val="pt-BR"/>
                    </w:rPr>
                  </w:pPr>
                </w:p>
              </w:tc>
              <w:tc>
                <w:tcPr>
                  <w:tcW w:w="709" w:type="dxa"/>
                  <w:vMerge w:val="continue"/>
                  <w:vAlign w:val="center"/>
                </w:tcPr>
                <w:p>
                  <w:pPr>
                    <w:jc w:val="center"/>
                    <w:rPr>
                      <w:color w:val="000000"/>
                      <w:szCs w:val="21"/>
                      <w:lang w:val="pt-BR"/>
                    </w:rPr>
                  </w:pPr>
                </w:p>
              </w:tc>
              <w:tc>
                <w:tcPr>
                  <w:tcW w:w="714" w:type="dxa"/>
                  <w:vAlign w:val="center"/>
                </w:tcPr>
                <w:p>
                  <w:pPr>
                    <w:contextualSpacing/>
                    <w:jc w:val="center"/>
                    <w:textAlignment w:val="baseline"/>
                    <w:rPr>
                      <w:color w:val="000000"/>
                      <w:szCs w:val="21"/>
                    </w:rPr>
                  </w:pPr>
                  <w:r>
                    <w:rPr>
                      <w:rFonts w:hint="eastAsia"/>
                      <w:color w:val="000000"/>
                      <w:szCs w:val="21"/>
                    </w:rPr>
                    <w:t>无组织废气</w:t>
                  </w:r>
                </w:p>
              </w:tc>
              <w:tc>
                <w:tcPr>
                  <w:tcW w:w="993" w:type="dxa"/>
                  <w:vAlign w:val="center"/>
                </w:tcPr>
                <w:p>
                  <w:pPr>
                    <w:contextualSpacing/>
                    <w:jc w:val="center"/>
                    <w:textAlignment w:val="baseline"/>
                    <w:rPr>
                      <w:color w:val="000000"/>
                      <w:szCs w:val="21"/>
                    </w:rPr>
                  </w:pPr>
                  <w:r>
                    <w:rPr>
                      <w:rFonts w:hint="eastAsia"/>
                      <w:color w:val="000000"/>
                      <w:szCs w:val="21"/>
                    </w:rPr>
                    <w:t>解析室、生产车间</w:t>
                  </w:r>
                </w:p>
              </w:tc>
              <w:tc>
                <w:tcPr>
                  <w:tcW w:w="3685" w:type="dxa"/>
                  <w:vAlign w:val="center"/>
                </w:tcPr>
                <w:p>
                  <w:pPr>
                    <w:contextualSpacing/>
                    <w:jc w:val="center"/>
                    <w:textAlignment w:val="baseline"/>
                    <w:rPr>
                      <w:bCs/>
                    </w:rPr>
                  </w:pPr>
                  <w:r>
                    <w:rPr>
                      <w:rFonts w:hint="eastAsia"/>
                      <w:bCs/>
                    </w:rPr>
                    <w:t>车间密闭</w:t>
                  </w:r>
                </w:p>
              </w:tc>
              <w:tc>
                <w:tcPr>
                  <w:tcW w:w="720" w:type="dxa"/>
                  <w:vAlign w:val="center"/>
                </w:tcPr>
                <w:p>
                  <w:pPr>
                    <w:jc w:val="center"/>
                    <w:rPr>
                      <w:color w:val="000000"/>
                      <w:szCs w:val="21"/>
                    </w:rPr>
                  </w:pPr>
                  <w:r>
                    <w:rPr>
                      <w:rFonts w:hint="eastAsia"/>
                      <w:color w:val="000000"/>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highlight w:val="yellow"/>
                      <w:lang w:val="pt-BR"/>
                    </w:rPr>
                  </w:pPr>
                </w:p>
              </w:tc>
              <w:tc>
                <w:tcPr>
                  <w:tcW w:w="587" w:type="dxa"/>
                  <w:vMerge w:val="continue"/>
                  <w:vAlign w:val="center"/>
                </w:tcPr>
                <w:p>
                  <w:pPr>
                    <w:jc w:val="center"/>
                    <w:rPr>
                      <w:color w:val="000000"/>
                      <w:szCs w:val="21"/>
                      <w:highlight w:val="yellow"/>
                      <w:lang w:val="pt-BR"/>
                    </w:rPr>
                  </w:pPr>
                </w:p>
              </w:tc>
              <w:tc>
                <w:tcPr>
                  <w:tcW w:w="709" w:type="dxa"/>
                  <w:vAlign w:val="center"/>
                </w:tcPr>
                <w:p>
                  <w:pPr>
                    <w:jc w:val="center"/>
                    <w:rPr>
                      <w:color w:val="000000"/>
                      <w:szCs w:val="21"/>
                      <w:lang w:val="pt-BR"/>
                    </w:rPr>
                  </w:pPr>
                  <w:r>
                    <w:rPr>
                      <w:color w:val="000000"/>
                      <w:szCs w:val="21"/>
                      <w:lang w:val="pt-BR"/>
                    </w:rPr>
                    <w:t>噪声</w:t>
                  </w:r>
                </w:p>
              </w:tc>
              <w:tc>
                <w:tcPr>
                  <w:tcW w:w="5392" w:type="dxa"/>
                  <w:gridSpan w:val="3"/>
                  <w:vAlign w:val="center"/>
                </w:tcPr>
                <w:p>
                  <w:pPr>
                    <w:jc w:val="center"/>
                    <w:rPr>
                      <w:color w:val="000000"/>
                      <w:szCs w:val="21"/>
                    </w:rPr>
                  </w:pPr>
                  <w:r>
                    <w:rPr>
                      <w:color w:val="000000"/>
                      <w:szCs w:val="21"/>
                    </w:rPr>
                    <w:t>基础减振、厂房隔声</w:t>
                  </w:r>
                </w:p>
              </w:tc>
              <w:tc>
                <w:tcPr>
                  <w:tcW w:w="720" w:type="dxa"/>
                  <w:vAlign w:val="center"/>
                </w:tcPr>
                <w:p>
                  <w:pPr>
                    <w:jc w:val="center"/>
                    <w:rPr>
                      <w:color w:val="000000"/>
                      <w:szCs w:val="21"/>
                    </w:rPr>
                  </w:pPr>
                  <w:r>
                    <w:rPr>
                      <w:rFonts w:hint="eastAsia"/>
                      <w:color w:val="000000"/>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highlight w:val="yellow"/>
                      <w:lang w:val="pt-BR"/>
                    </w:rPr>
                  </w:pPr>
                </w:p>
              </w:tc>
              <w:tc>
                <w:tcPr>
                  <w:tcW w:w="587" w:type="dxa"/>
                  <w:vMerge w:val="continue"/>
                  <w:vAlign w:val="center"/>
                </w:tcPr>
                <w:p>
                  <w:pPr>
                    <w:jc w:val="center"/>
                    <w:rPr>
                      <w:color w:val="000000"/>
                      <w:szCs w:val="21"/>
                      <w:highlight w:val="yellow"/>
                      <w:lang w:val="pt-BR"/>
                    </w:rPr>
                  </w:pPr>
                </w:p>
              </w:tc>
              <w:tc>
                <w:tcPr>
                  <w:tcW w:w="709" w:type="dxa"/>
                  <w:vMerge w:val="restart"/>
                  <w:vAlign w:val="center"/>
                </w:tcPr>
                <w:p>
                  <w:pPr>
                    <w:jc w:val="center"/>
                    <w:rPr>
                      <w:color w:val="000000"/>
                      <w:szCs w:val="21"/>
                      <w:lang w:val="pt-BR"/>
                    </w:rPr>
                  </w:pPr>
                  <w:r>
                    <w:rPr>
                      <w:color w:val="000000"/>
                      <w:szCs w:val="21"/>
                      <w:lang w:val="pt-BR"/>
                    </w:rPr>
                    <w:t>固废</w:t>
                  </w:r>
                </w:p>
              </w:tc>
              <w:tc>
                <w:tcPr>
                  <w:tcW w:w="5392" w:type="dxa"/>
                  <w:gridSpan w:val="3"/>
                  <w:vAlign w:val="center"/>
                </w:tcPr>
                <w:p>
                  <w:pPr>
                    <w:jc w:val="center"/>
                    <w:rPr>
                      <w:color w:val="000000"/>
                      <w:szCs w:val="21"/>
                      <w:lang w:val="pt-BR"/>
                    </w:rPr>
                  </w:pPr>
                  <w:r>
                    <w:rPr>
                      <w:color w:val="000000"/>
                      <w:szCs w:val="21"/>
                    </w:rPr>
                    <w:t>一般固废</w:t>
                  </w:r>
                  <w:r>
                    <w:rPr>
                      <w:rFonts w:hint="eastAsia"/>
                      <w:color w:val="000000"/>
                      <w:szCs w:val="21"/>
                    </w:rPr>
                    <w:t>暂存间</w:t>
                  </w:r>
                  <w:r>
                    <w:rPr>
                      <w:color w:val="000000"/>
                      <w:szCs w:val="21"/>
                    </w:rPr>
                    <w:t>1座</w:t>
                  </w:r>
                  <w:r>
                    <w:rPr>
                      <w:rFonts w:hint="eastAsia"/>
                      <w:color w:val="000000"/>
                      <w:szCs w:val="21"/>
                    </w:rPr>
                    <w:t>（不小于1</w:t>
                  </w:r>
                  <w:r>
                    <w:rPr>
                      <w:color w:val="000000"/>
                      <w:szCs w:val="21"/>
                    </w:rPr>
                    <w:t>0</w:t>
                  </w:r>
                  <w:r>
                    <w:rPr>
                      <w:rFonts w:hint="eastAsia"/>
                      <w:color w:val="000000"/>
                      <w:szCs w:val="21"/>
                    </w:rPr>
                    <w:t>m</w:t>
                  </w:r>
                  <w:r>
                    <w:rPr>
                      <w:rFonts w:hint="eastAsia"/>
                      <w:color w:val="000000"/>
                      <w:szCs w:val="21"/>
                      <w:vertAlign w:val="superscript"/>
                    </w:rPr>
                    <w:t>2</w:t>
                  </w:r>
                  <w:r>
                    <w:rPr>
                      <w:rFonts w:hint="eastAsia"/>
                      <w:color w:val="000000"/>
                      <w:szCs w:val="21"/>
                    </w:rPr>
                    <w:t>）</w:t>
                  </w:r>
                </w:p>
              </w:tc>
              <w:tc>
                <w:tcPr>
                  <w:tcW w:w="720" w:type="dxa"/>
                  <w:vAlign w:val="center"/>
                </w:tcPr>
                <w:p>
                  <w:pPr>
                    <w:jc w:val="center"/>
                    <w:rPr>
                      <w:color w:val="000000"/>
                      <w:szCs w:val="21"/>
                      <w:lang w:val="pt-BR"/>
                    </w:rPr>
                  </w:pPr>
                  <w:r>
                    <w:rPr>
                      <w:rFonts w:hint="eastAsia"/>
                      <w:color w:val="000000"/>
                      <w:szCs w:val="21"/>
                    </w:rPr>
                    <w:t>依托在建工程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highlight w:val="yellow"/>
                      <w:lang w:val="pt-BR"/>
                    </w:rPr>
                  </w:pPr>
                </w:p>
              </w:tc>
              <w:tc>
                <w:tcPr>
                  <w:tcW w:w="587" w:type="dxa"/>
                  <w:vMerge w:val="continue"/>
                  <w:vAlign w:val="center"/>
                </w:tcPr>
                <w:p>
                  <w:pPr>
                    <w:jc w:val="center"/>
                    <w:rPr>
                      <w:color w:val="000000"/>
                      <w:szCs w:val="21"/>
                      <w:highlight w:val="yellow"/>
                      <w:lang w:val="pt-BR"/>
                    </w:rPr>
                  </w:pPr>
                </w:p>
              </w:tc>
              <w:tc>
                <w:tcPr>
                  <w:tcW w:w="709" w:type="dxa"/>
                  <w:vMerge w:val="continue"/>
                  <w:vAlign w:val="center"/>
                </w:tcPr>
                <w:p>
                  <w:pPr>
                    <w:jc w:val="center"/>
                    <w:rPr>
                      <w:color w:val="000000"/>
                      <w:szCs w:val="21"/>
                      <w:highlight w:val="yellow"/>
                      <w:lang w:val="pt-BR"/>
                    </w:rPr>
                  </w:pPr>
                </w:p>
              </w:tc>
              <w:tc>
                <w:tcPr>
                  <w:tcW w:w="5392" w:type="dxa"/>
                  <w:gridSpan w:val="3"/>
                  <w:vAlign w:val="center"/>
                </w:tcPr>
                <w:p>
                  <w:pPr>
                    <w:jc w:val="center"/>
                    <w:rPr>
                      <w:color w:val="000000"/>
                      <w:szCs w:val="21"/>
                    </w:rPr>
                  </w:pPr>
                  <w:r>
                    <w:rPr>
                      <w:color w:val="000000"/>
                      <w:szCs w:val="21"/>
                    </w:rPr>
                    <w:t>危废暂存间</w:t>
                  </w:r>
                  <w:r>
                    <w:rPr>
                      <w:rFonts w:hint="eastAsia"/>
                      <w:color w:val="000000"/>
                      <w:szCs w:val="21"/>
                    </w:rPr>
                    <w:t>1座（不小于</w:t>
                  </w:r>
                  <w:r>
                    <w:rPr>
                      <w:color w:val="000000"/>
                      <w:szCs w:val="21"/>
                    </w:rPr>
                    <w:t>5</w:t>
                  </w:r>
                  <w:r>
                    <w:rPr>
                      <w:rFonts w:hint="eastAsia"/>
                      <w:color w:val="000000"/>
                      <w:szCs w:val="21"/>
                    </w:rPr>
                    <w:t>m</w:t>
                  </w:r>
                  <w:r>
                    <w:rPr>
                      <w:rFonts w:hint="eastAsia"/>
                      <w:color w:val="000000"/>
                      <w:szCs w:val="21"/>
                      <w:vertAlign w:val="superscript"/>
                    </w:rPr>
                    <w:t>2</w:t>
                  </w:r>
                  <w:r>
                    <w:rPr>
                      <w:rFonts w:hint="eastAsia"/>
                      <w:color w:val="000000"/>
                      <w:szCs w:val="21"/>
                    </w:rPr>
                    <w:t>）</w:t>
                  </w:r>
                </w:p>
              </w:tc>
              <w:tc>
                <w:tcPr>
                  <w:tcW w:w="720" w:type="dxa"/>
                  <w:vAlign w:val="center"/>
                </w:tcPr>
                <w:p>
                  <w:pPr>
                    <w:jc w:val="center"/>
                    <w:rPr>
                      <w:color w:val="000000"/>
                      <w:szCs w:val="21"/>
                    </w:rPr>
                  </w:pPr>
                  <w:r>
                    <w:rPr>
                      <w:rFonts w:hint="eastAsia"/>
                      <w:color w:val="000000"/>
                      <w:szCs w:val="21"/>
                    </w:rPr>
                    <w:t>依托在建工程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restart"/>
                  <w:vAlign w:val="center"/>
                </w:tcPr>
                <w:p>
                  <w:pPr>
                    <w:jc w:val="center"/>
                    <w:rPr>
                      <w:color w:val="000000"/>
                      <w:szCs w:val="21"/>
                      <w:lang w:val="pt-BR"/>
                    </w:rPr>
                  </w:pPr>
                  <w:r>
                    <w:rPr>
                      <w:color w:val="000000"/>
                      <w:szCs w:val="21"/>
                      <w:lang w:val="pt-BR"/>
                    </w:rPr>
                    <w:t>4</w:t>
                  </w:r>
                </w:p>
              </w:tc>
              <w:tc>
                <w:tcPr>
                  <w:tcW w:w="587" w:type="dxa"/>
                  <w:vMerge w:val="restart"/>
                  <w:vAlign w:val="center"/>
                </w:tcPr>
                <w:p>
                  <w:pPr>
                    <w:jc w:val="center"/>
                    <w:rPr>
                      <w:color w:val="000000"/>
                      <w:szCs w:val="21"/>
                      <w:lang w:val="pt-BR"/>
                    </w:rPr>
                  </w:pPr>
                  <w:r>
                    <w:rPr>
                      <w:color w:val="000000"/>
                      <w:szCs w:val="21"/>
                      <w:lang w:val="pt-BR"/>
                    </w:rPr>
                    <w:t>公用工程</w:t>
                  </w:r>
                </w:p>
              </w:tc>
              <w:tc>
                <w:tcPr>
                  <w:tcW w:w="709" w:type="dxa"/>
                  <w:vAlign w:val="center"/>
                </w:tcPr>
                <w:p>
                  <w:pPr>
                    <w:jc w:val="center"/>
                    <w:rPr>
                      <w:color w:val="000000"/>
                      <w:szCs w:val="21"/>
                      <w:lang w:val="pt-BR"/>
                    </w:rPr>
                  </w:pPr>
                  <w:r>
                    <w:rPr>
                      <w:color w:val="000000"/>
                      <w:szCs w:val="21"/>
                      <w:lang w:val="pt-BR"/>
                    </w:rPr>
                    <w:t>水</w:t>
                  </w:r>
                </w:p>
              </w:tc>
              <w:tc>
                <w:tcPr>
                  <w:tcW w:w="5392" w:type="dxa"/>
                  <w:gridSpan w:val="3"/>
                  <w:vAlign w:val="center"/>
                </w:tcPr>
                <w:p>
                  <w:pPr>
                    <w:jc w:val="center"/>
                    <w:rPr>
                      <w:color w:val="000000"/>
                      <w:szCs w:val="21"/>
                      <w:lang w:val="pt-BR"/>
                    </w:rPr>
                  </w:pPr>
                  <w:r>
                    <w:rPr>
                      <w:rFonts w:hint="eastAsia"/>
                      <w:color w:val="000000"/>
                      <w:szCs w:val="21"/>
                      <w:lang w:val="pt-BR"/>
                    </w:rPr>
                    <w:t>集聚区统一供水</w:t>
                  </w:r>
                </w:p>
              </w:tc>
              <w:tc>
                <w:tcPr>
                  <w:tcW w:w="720" w:type="dxa"/>
                  <w:vAlign w:val="center"/>
                </w:tcPr>
                <w:p>
                  <w:pPr>
                    <w:jc w:val="center"/>
                    <w:rPr>
                      <w:color w:val="000000"/>
                      <w:szCs w:val="21"/>
                      <w:lang w:val="pt-BR"/>
                    </w:rPr>
                  </w:pPr>
                  <w:r>
                    <w:rPr>
                      <w:rFonts w:hint="eastAsia"/>
                      <w:color w:val="000000"/>
                      <w:szCs w:val="21"/>
                      <w:lang w:val="pt-B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7" w:type="dxa"/>
                  <w:vMerge w:val="continue"/>
                  <w:vAlign w:val="center"/>
                </w:tcPr>
                <w:p>
                  <w:pPr>
                    <w:jc w:val="center"/>
                    <w:rPr>
                      <w:color w:val="000000"/>
                      <w:szCs w:val="21"/>
                      <w:lang w:val="pt-BR"/>
                    </w:rPr>
                  </w:pPr>
                </w:p>
              </w:tc>
              <w:tc>
                <w:tcPr>
                  <w:tcW w:w="587" w:type="dxa"/>
                  <w:vMerge w:val="continue"/>
                  <w:vAlign w:val="center"/>
                </w:tcPr>
                <w:p>
                  <w:pPr>
                    <w:jc w:val="center"/>
                    <w:rPr>
                      <w:color w:val="000000"/>
                      <w:szCs w:val="21"/>
                      <w:lang w:val="pt-BR"/>
                    </w:rPr>
                  </w:pPr>
                </w:p>
              </w:tc>
              <w:tc>
                <w:tcPr>
                  <w:tcW w:w="709" w:type="dxa"/>
                  <w:vAlign w:val="center"/>
                </w:tcPr>
                <w:p>
                  <w:pPr>
                    <w:jc w:val="center"/>
                    <w:rPr>
                      <w:color w:val="000000"/>
                      <w:szCs w:val="21"/>
                      <w:lang w:val="pt-BR"/>
                    </w:rPr>
                  </w:pPr>
                  <w:r>
                    <w:rPr>
                      <w:color w:val="000000"/>
                      <w:szCs w:val="21"/>
                      <w:lang w:val="pt-BR"/>
                    </w:rPr>
                    <w:t>电</w:t>
                  </w:r>
                </w:p>
              </w:tc>
              <w:tc>
                <w:tcPr>
                  <w:tcW w:w="5392" w:type="dxa"/>
                  <w:gridSpan w:val="3"/>
                  <w:vAlign w:val="center"/>
                </w:tcPr>
                <w:p>
                  <w:pPr>
                    <w:jc w:val="center"/>
                    <w:rPr>
                      <w:color w:val="000000"/>
                      <w:szCs w:val="21"/>
                      <w:lang w:val="pt-BR"/>
                    </w:rPr>
                  </w:pPr>
                  <w:r>
                    <w:rPr>
                      <w:rFonts w:hint="eastAsia"/>
                      <w:color w:val="000000"/>
                      <w:szCs w:val="21"/>
                      <w:lang w:val="pt-BR"/>
                    </w:rPr>
                    <w:t>集聚区统一供电</w:t>
                  </w:r>
                </w:p>
              </w:tc>
              <w:tc>
                <w:tcPr>
                  <w:tcW w:w="720" w:type="dxa"/>
                  <w:vAlign w:val="center"/>
                </w:tcPr>
                <w:p>
                  <w:pPr>
                    <w:jc w:val="center"/>
                    <w:rPr>
                      <w:color w:val="000000"/>
                      <w:szCs w:val="21"/>
                      <w:lang w:val="pt-BR"/>
                    </w:rPr>
                  </w:pPr>
                  <w:r>
                    <w:rPr>
                      <w:rFonts w:hint="eastAsia"/>
                      <w:color w:val="000000"/>
                      <w:szCs w:val="21"/>
                      <w:lang w:val="pt-BR"/>
                    </w:rPr>
                    <w:t>/</w:t>
                  </w:r>
                </w:p>
              </w:tc>
            </w:tr>
          </w:tbl>
          <w:p>
            <w:pPr>
              <w:tabs>
                <w:tab w:val="right" w:pos="9734"/>
              </w:tabs>
              <w:adjustRightInd w:val="0"/>
              <w:snapToGrid w:val="0"/>
              <w:spacing w:line="460" w:lineRule="exact"/>
              <w:ind w:firstLine="482" w:firstLineChars="200"/>
              <w:rPr>
                <w:b/>
                <w:color w:val="000000"/>
                <w:sz w:val="24"/>
                <w:highlight w:val="yellow"/>
              </w:rPr>
            </w:pPr>
            <w:r>
              <w:rPr>
                <w:rFonts w:hint="eastAsia"/>
                <w:b/>
                <w:color w:val="000000"/>
                <w:sz w:val="24"/>
              </w:rPr>
              <w:t>3、产品方案</w:t>
            </w:r>
          </w:p>
          <w:p>
            <w:pPr>
              <w:adjustRightInd w:val="0"/>
              <w:snapToGrid w:val="0"/>
              <w:spacing w:line="460" w:lineRule="exact"/>
              <w:ind w:firstLine="480" w:firstLineChars="200"/>
              <w:rPr>
                <w:color w:val="000000"/>
                <w:sz w:val="24"/>
              </w:rPr>
            </w:pPr>
            <w:r>
              <w:rPr>
                <w:rFonts w:hint="eastAsia"/>
                <w:color w:val="000000"/>
                <w:sz w:val="24"/>
              </w:rPr>
              <w:t>本项目产品为医用</w:t>
            </w:r>
            <w:r>
              <w:rPr>
                <w:rFonts w:hint="eastAsia"/>
                <w:bCs/>
                <w:color w:val="000000"/>
                <w:sz w:val="24"/>
              </w:rPr>
              <w:t>口罩</w:t>
            </w:r>
            <w:r>
              <w:rPr>
                <w:rFonts w:hint="eastAsia"/>
                <w:color w:val="000000"/>
                <w:sz w:val="24"/>
              </w:rPr>
              <w:t>，项目产品方案及产量详见下表。</w:t>
            </w:r>
          </w:p>
          <w:p>
            <w:pPr>
              <w:adjustRightInd w:val="0"/>
              <w:snapToGrid w:val="0"/>
              <w:spacing w:line="460" w:lineRule="exact"/>
              <w:ind w:firstLine="480" w:firstLineChars="200"/>
              <w:rPr>
                <w:rFonts w:eastAsia="黑体"/>
                <w:color w:val="000000"/>
                <w:sz w:val="24"/>
              </w:rPr>
            </w:pPr>
            <w:r>
              <w:rPr>
                <w:rFonts w:eastAsia="黑体"/>
                <w:color w:val="000000"/>
                <w:sz w:val="24"/>
              </w:rPr>
              <w:t>表</w:t>
            </w:r>
            <w:r>
              <w:rPr>
                <w:rFonts w:eastAsia="黑体"/>
                <w:bCs/>
                <w:color w:val="000000"/>
                <w:sz w:val="24"/>
              </w:rPr>
              <w:t>11</w:t>
            </w:r>
            <w:r>
              <w:rPr>
                <w:rFonts w:eastAsia="黑体"/>
                <w:color w:val="000000"/>
                <w:sz w:val="24"/>
              </w:rPr>
              <w:t xml:space="preserve">               </w:t>
            </w:r>
            <w:r>
              <w:rPr>
                <w:rFonts w:hint="eastAsia" w:eastAsia="黑体"/>
                <w:color w:val="000000"/>
                <w:sz w:val="24"/>
              </w:rPr>
              <w:t xml:space="preserve">   </w:t>
            </w:r>
            <w:r>
              <w:rPr>
                <w:rFonts w:eastAsia="黑体"/>
                <w:color w:val="000000"/>
                <w:sz w:val="24"/>
              </w:rPr>
              <w:t>项目产品及产量一览表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3"/>
              <w:gridCol w:w="710"/>
              <w:gridCol w:w="1700"/>
              <w:gridCol w:w="1559"/>
              <w:gridCol w:w="1559"/>
              <w:gridCol w:w="1854"/>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restart"/>
                  <w:vAlign w:val="center"/>
                </w:tcPr>
                <w:p>
                  <w:pPr>
                    <w:jc w:val="center"/>
                    <w:rPr>
                      <w:rFonts w:cs="宋体"/>
                      <w:b/>
                      <w:color w:val="000000"/>
                      <w:szCs w:val="20"/>
                    </w:rPr>
                  </w:pPr>
                  <w:r>
                    <w:rPr>
                      <w:rFonts w:hint="eastAsia" w:cs="宋体"/>
                      <w:b/>
                      <w:color w:val="000000"/>
                      <w:szCs w:val="20"/>
                    </w:rPr>
                    <w:t>序号</w:t>
                  </w:r>
                </w:p>
              </w:tc>
              <w:tc>
                <w:tcPr>
                  <w:tcW w:w="1517" w:type="pct"/>
                  <w:gridSpan w:val="2"/>
                  <w:vMerge w:val="restart"/>
                  <w:vAlign w:val="center"/>
                </w:tcPr>
                <w:p>
                  <w:pPr>
                    <w:jc w:val="center"/>
                    <w:rPr>
                      <w:rFonts w:cs="宋体"/>
                      <w:b/>
                      <w:color w:val="000000"/>
                      <w:szCs w:val="20"/>
                    </w:rPr>
                  </w:pPr>
                  <w:r>
                    <w:rPr>
                      <w:rFonts w:hint="eastAsia" w:cs="宋体"/>
                      <w:b/>
                      <w:color w:val="000000"/>
                      <w:szCs w:val="20"/>
                    </w:rPr>
                    <w:t>产品名称</w:t>
                  </w:r>
                </w:p>
              </w:tc>
              <w:tc>
                <w:tcPr>
                  <w:tcW w:w="3129" w:type="pct"/>
                  <w:gridSpan w:val="3"/>
                  <w:vAlign w:val="center"/>
                </w:tcPr>
                <w:p>
                  <w:pPr>
                    <w:jc w:val="center"/>
                    <w:rPr>
                      <w:rFonts w:cs="宋体"/>
                      <w:b/>
                      <w:color w:val="000000"/>
                      <w:szCs w:val="20"/>
                    </w:rPr>
                  </w:pPr>
                  <w:r>
                    <w:rPr>
                      <w:rFonts w:hint="eastAsia" w:cs="宋体"/>
                      <w:b/>
                      <w:color w:val="000000"/>
                      <w:szCs w:val="20"/>
                    </w:rPr>
                    <w:t>产量</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continue"/>
                  <w:vAlign w:val="center"/>
                </w:tcPr>
                <w:p>
                  <w:pPr>
                    <w:jc w:val="center"/>
                    <w:rPr>
                      <w:rFonts w:cs="宋体"/>
                      <w:b/>
                      <w:color w:val="000000"/>
                      <w:szCs w:val="20"/>
                    </w:rPr>
                  </w:pPr>
                </w:p>
              </w:tc>
              <w:tc>
                <w:tcPr>
                  <w:tcW w:w="1517" w:type="pct"/>
                  <w:gridSpan w:val="2"/>
                  <w:vMerge w:val="continue"/>
                  <w:vAlign w:val="center"/>
                </w:tcPr>
                <w:p>
                  <w:pPr>
                    <w:jc w:val="center"/>
                    <w:rPr>
                      <w:rFonts w:cs="宋体"/>
                      <w:b/>
                      <w:color w:val="000000"/>
                      <w:szCs w:val="20"/>
                    </w:rPr>
                  </w:pPr>
                </w:p>
              </w:tc>
              <w:tc>
                <w:tcPr>
                  <w:tcW w:w="981" w:type="pct"/>
                  <w:vAlign w:val="center"/>
                </w:tcPr>
                <w:p>
                  <w:pPr>
                    <w:jc w:val="center"/>
                    <w:rPr>
                      <w:rFonts w:cs="宋体"/>
                      <w:b/>
                      <w:color w:val="000000"/>
                      <w:szCs w:val="20"/>
                    </w:rPr>
                  </w:pPr>
                  <w:r>
                    <w:rPr>
                      <w:rFonts w:hint="eastAsia" w:cs="宋体"/>
                      <w:b/>
                      <w:color w:val="000000"/>
                      <w:szCs w:val="20"/>
                    </w:rPr>
                    <w:t>在建工程</w:t>
                  </w:r>
                </w:p>
              </w:tc>
              <w:tc>
                <w:tcPr>
                  <w:tcW w:w="981" w:type="pct"/>
                  <w:vAlign w:val="center"/>
                </w:tcPr>
                <w:p>
                  <w:pPr>
                    <w:jc w:val="center"/>
                    <w:rPr>
                      <w:rFonts w:cs="宋体"/>
                      <w:b/>
                      <w:color w:val="000000"/>
                      <w:szCs w:val="20"/>
                    </w:rPr>
                  </w:pPr>
                  <w:r>
                    <w:rPr>
                      <w:rFonts w:hint="eastAsia" w:cs="宋体"/>
                      <w:b/>
                      <w:color w:val="000000"/>
                      <w:szCs w:val="20"/>
                    </w:rPr>
                    <w:t>本项目</w:t>
                  </w:r>
                </w:p>
              </w:tc>
              <w:tc>
                <w:tcPr>
                  <w:tcW w:w="1167" w:type="pct"/>
                  <w:vAlign w:val="center"/>
                </w:tcPr>
                <w:p>
                  <w:pPr>
                    <w:jc w:val="center"/>
                    <w:rPr>
                      <w:rFonts w:cs="宋体"/>
                      <w:b/>
                      <w:color w:val="000000"/>
                      <w:szCs w:val="20"/>
                    </w:rPr>
                  </w:pPr>
                  <w:r>
                    <w:rPr>
                      <w:rFonts w:hint="eastAsia" w:cs="宋体"/>
                      <w:b/>
                      <w:color w:val="000000"/>
                      <w:szCs w:val="20"/>
                    </w:rPr>
                    <w:t>本项目建成后全厂</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restart"/>
                  <w:vAlign w:val="center"/>
                </w:tcPr>
                <w:p>
                  <w:pPr>
                    <w:contextualSpacing/>
                    <w:jc w:val="center"/>
                    <w:textAlignment w:val="baseline"/>
                    <w:rPr>
                      <w:kern w:val="0"/>
                      <w:szCs w:val="21"/>
                      <w:highlight w:val="yellow"/>
                    </w:rPr>
                  </w:pPr>
                  <w:r>
                    <w:rPr>
                      <w:kern w:val="0"/>
                      <w:szCs w:val="21"/>
                    </w:rPr>
                    <w:t>1</w:t>
                  </w:r>
                </w:p>
              </w:tc>
              <w:tc>
                <w:tcPr>
                  <w:tcW w:w="447" w:type="pct"/>
                  <w:vMerge w:val="restart"/>
                  <w:vAlign w:val="center"/>
                </w:tcPr>
                <w:p>
                  <w:pPr>
                    <w:contextualSpacing/>
                    <w:jc w:val="center"/>
                    <w:textAlignment w:val="baseline"/>
                    <w:rPr>
                      <w:kern w:val="0"/>
                      <w:szCs w:val="21"/>
                    </w:rPr>
                  </w:pPr>
                  <w:r>
                    <w:rPr>
                      <w:rFonts w:hint="eastAsia"/>
                      <w:kern w:val="0"/>
                      <w:szCs w:val="21"/>
                    </w:rPr>
                    <w:t>贴剂</w:t>
                  </w:r>
                </w:p>
              </w:tc>
              <w:tc>
                <w:tcPr>
                  <w:tcW w:w="1070" w:type="pct"/>
                  <w:vAlign w:val="center"/>
                </w:tcPr>
                <w:p>
                  <w:pPr>
                    <w:contextualSpacing/>
                    <w:jc w:val="center"/>
                    <w:textAlignment w:val="baseline"/>
                    <w:rPr>
                      <w:kern w:val="0"/>
                      <w:szCs w:val="21"/>
                    </w:rPr>
                  </w:pPr>
                  <w:r>
                    <w:rPr>
                      <w:rFonts w:hint="eastAsia"/>
                      <w:kern w:val="0"/>
                      <w:szCs w:val="21"/>
                    </w:rPr>
                    <w:t>凝胶贴剂</w:t>
                  </w:r>
                </w:p>
              </w:tc>
              <w:tc>
                <w:tcPr>
                  <w:tcW w:w="981" w:type="pct"/>
                  <w:vAlign w:val="center"/>
                </w:tcPr>
                <w:p>
                  <w:pPr>
                    <w:contextualSpacing/>
                    <w:jc w:val="center"/>
                    <w:textAlignment w:val="baseline"/>
                    <w:rPr>
                      <w:kern w:val="0"/>
                      <w:szCs w:val="21"/>
                    </w:rPr>
                  </w:pPr>
                  <w:r>
                    <w:rPr>
                      <w:rFonts w:hint="eastAsia"/>
                      <w:kern w:val="0"/>
                      <w:szCs w:val="21"/>
                    </w:rPr>
                    <w:t>1</w:t>
                  </w:r>
                  <w:r>
                    <w:rPr>
                      <w:kern w:val="0"/>
                      <w:szCs w:val="21"/>
                    </w:rPr>
                    <w:t>200</w:t>
                  </w:r>
                  <w:r>
                    <w:rPr>
                      <w:rFonts w:hint="eastAsia"/>
                      <w:kern w:val="0"/>
                      <w:szCs w:val="21"/>
                    </w:rPr>
                    <w:t>万片/年</w:t>
                  </w:r>
                </w:p>
              </w:tc>
              <w:tc>
                <w:tcPr>
                  <w:tcW w:w="981" w:type="pct"/>
                  <w:vAlign w:val="center"/>
                </w:tcPr>
                <w:p>
                  <w:pPr>
                    <w:contextualSpacing/>
                    <w:jc w:val="center"/>
                    <w:textAlignment w:val="baseline"/>
                    <w:rPr>
                      <w:kern w:val="0"/>
                      <w:szCs w:val="21"/>
                    </w:rPr>
                  </w:pPr>
                  <w:r>
                    <w:rPr>
                      <w:rFonts w:hint="eastAsia"/>
                      <w:kern w:val="0"/>
                      <w:szCs w:val="21"/>
                    </w:rPr>
                    <w:t>/</w:t>
                  </w:r>
                </w:p>
              </w:tc>
              <w:tc>
                <w:tcPr>
                  <w:tcW w:w="1167" w:type="pct"/>
                  <w:vAlign w:val="center"/>
                </w:tcPr>
                <w:p>
                  <w:pPr>
                    <w:contextualSpacing/>
                    <w:jc w:val="center"/>
                    <w:textAlignment w:val="baseline"/>
                    <w:rPr>
                      <w:kern w:val="0"/>
                      <w:szCs w:val="21"/>
                      <w:highlight w:val="yellow"/>
                    </w:rPr>
                  </w:pPr>
                  <w:r>
                    <w:rPr>
                      <w:rFonts w:hint="eastAsia"/>
                      <w:kern w:val="0"/>
                      <w:szCs w:val="21"/>
                    </w:rPr>
                    <w:t>1</w:t>
                  </w:r>
                  <w:r>
                    <w:rPr>
                      <w:kern w:val="0"/>
                      <w:szCs w:val="21"/>
                    </w:rPr>
                    <w:t>200</w:t>
                  </w:r>
                  <w:r>
                    <w:rPr>
                      <w:rFonts w:hint="eastAsia"/>
                      <w:kern w:val="0"/>
                      <w:szCs w:val="21"/>
                    </w:rPr>
                    <w:t>万片/年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continue"/>
                  <w:vAlign w:val="center"/>
                </w:tcPr>
                <w:p>
                  <w:pPr>
                    <w:contextualSpacing/>
                    <w:jc w:val="center"/>
                    <w:textAlignment w:val="baseline"/>
                    <w:rPr>
                      <w:kern w:val="0"/>
                      <w:szCs w:val="21"/>
                    </w:rPr>
                  </w:pPr>
                </w:p>
              </w:tc>
              <w:tc>
                <w:tcPr>
                  <w:tcW w:w="447" w:type="pct"/>
                  <w:vMerge w:val="continue"/>
                  <w:vAlign w:val="center"/>
                </w:tcPr>
                <w:p>
                  <w:pPr>
                    <w:contextualSpacing/>
                    <w:jc w:val="center"/>
                    <w:textAlignment w:val="baseline"/>
                    <w:rPr>
                      <w:bCs/>
                      <w:color w:val="000000"/>
                      <w:szCs w:val="21"/>
                    </w:rPr>
                  </w:pPr>
                </w:p>
              </w:tc>
              <w:tc>
                <w:tcPr>
                  <w:tcW w:w="1070" w:type="pct"/>
                  <w:vAlign w:val="center"/>
                </w:tcPr>
                <w:p>
                  <w:pPr>
                    <w:contextualSpacing/>
                    <w:jc w:val="center"/>
                    <w:textAlignment w:val="baseline"/>
                    <w:rPr>
                      <w:bCs/>
                      <w:color w:val="000000"/>
                      <w:szCs w:val="21"/>
                    </w:rPr>
                  </w:pPr>
                  <w:r>
                    <w:rPr>
                      <w:rFonts w:hint="eastAsia"/>
                      <w:bCs/>
                      <w:color w:val="000000"/>
                      <w:szCs w:val="21"/>
                    </w:rPr>
                    <w:t>医用压敏胶贴剂</w:t>
                  </w:r>
                </w:p>
              </w:tc>
              <w:tc>
                <w:tcPr>
                  <w:tcW w:w="981" w:type="pct"/>
                  <w:vAlign w:val="center"/>
                </w:tcPr>
                <w:p>
                  <w:pPr>
                    <w:contextualSpacing/>
                    <w:jc w:val="center"/>
                    <w:textAlignment w:val="baseline"/>
                    <w:rPr>
                      <w:kern w:val="0"/>
                      <w:szCs w:val="21"/>
                    </w:rPr>
                  </w:pPr>
                  <w:r>
                    <w:rPr>
                      <w:kern w:val="0"/>
                      <w:szCs w:val="21"/>
                    </w:rPr>
                    <w:t>800</w:t>
                  </w:r>
                  <w:r>
                    <w:rPr>
                      <w:rFonts w:hint="eastAsia"/>
                      <w:kern w:val="0"/>
                      <w:szCs w:val="21"/>
                    </w:rPr>
                    <w:t>万片/年</w:t>
                  </w:r>
                </w:p>
              </w:tc>
              <w:tc>
                <w:tcPr>
                  <w:tcW w:w="981" w:type="pct"/>
                  <w:vAlign w:val="center"/>
                </w:tcPr>
                <w:p>
                  <w:pPr>
                    <w:contextualSpacing/>
                    <w:jc w:val="center"/>
                    <w:textAlignment w:val="baseline"/>
                    <w:rPr>
                      <w:kern w:val="0"/>
                      <w:szCs w:val="21"/>
                    </w:rPr>
                  </w:pPr>
                  <w:r>
                    <w:rPr>
                      <w:rFonts w:hint="eastAsia"/>
                      <w:kern w:val="0"/>
                      <w:szCs w:val="21"/>
                    </w:rPr>
                    <w:t>/</w:t>
                  </w:r>
                </w:p>
              </w:tc>
              <w:tc>
                <w:tcPr>
                  <w:tcW w:w="1167" w:type="pct"/>
                  <w:vAlign w:val="center"/>
                </w:tcPr>
                <w:p>
                  <w:pPr>
                    <w:contextualSpacing/>
                    <w:jc w:val="center"/>
                    <w:textAlignment w:val="baseline"/>
                    <w:rPr>
                      <w:kern w:val="0"/>
                      <w:szCs w:val="21"/>
                      <w:highlight w:val="yellow"/>
                    </w:rPr>
                  </w:pPr>
                  <w:r>
                    <w:rPr>
                      <w:kern w:val="0"/>
                      <w:szCs w:val="21"/>
                    </w:rPr>
                    <w:t>800</w:t>
                  </w:r>
                  <w:r>
                    <w:rPr>
                      <w:rFonts w:hint="eastAsia"/>
                      <w:kern w:val="0"/>
                      <w:szCs w:val="21"/>
                    </w:rPr>
                    <w:t>万片/年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restart"/>
                  <w:vAlign w:val="center"/>
                </w:tcPr>
                <w:p>
                  <w:pPr>
                    <w:contextualSpacing/>
                    <w:jc w:val="center"/>
                    <w:textAlignment w:val="baseline"/>
                    <w:rPr>
                      <w:kern w:val="0"/>
                      <w:szCs w:val="21"/>
                    </w:rPr>
                  </w:pPr>
                </w:p>
              </w:tc>
              <w:tc>
                <w:tcPr>
                  <w:tcW w:w="447" w:type="pct"/>
                  <w:vMerge w:val="restart"/>
                  <w:vAlign w:val="center"/>
                </w:tcPr>
                <w:p>
                  <w:pPr>
                    <w:contextualSpacing/>
                    <w:jc w:val="center"/>
                    <w:textAlignment w:val="baseline"/>
                    <w:rPr>
                      <w:bCs/>
                      <w:color w:val="000000"/>
                      <w:szCs w:val="21"/>
                    </w:rPr>
                  </w:pPr>
                  <w:r>
                    <w:rPr>
                      <w:rFonts w:hint="eastAsia"/>
                      <w:bCs/>
                      <w:color w:val="000000"/>
                      <w:szCs w:val="21"/>
                    </w:rPr>
                    <w:t>抑菌剂</w:t>
                  </w:r>
                </w:p>
              </w:tc>
              <w:tc>
                <w:tcPr>
                  <w:tcW w:w="1070" w:type="pct"/>
                  <w:vAlign w:val="center"/>
                </w:tcPr>
                <w:p>
                  <w:pPr>
                    <w:contextualSpacing/>
                    <w:jc w:val="center"/>
                    <w:textAlignment w:val="baseline"/>
                    <w:rPr>
                      <w:bCs/>
                      <w:color w:val="000000"/>
                      <w:szCs w:val="21"/>
                    </w:rPr>
                  </w:pPr>
                  <w:r>
                    <w:rPr>
                      <w:rFonts w:hint="eastAsia"/>
                      <w:bCs/>
                      <w:color w:val="000000"/>
                      <w:szCs w:val="21"/>
                    </w:rPr>
                    <w:t>液体抑菌剂</w:t>
                  </w:r>
                </w:p>
              </w:tc>
              <w:tc>
                <w:tcPr>
                  <w:tcW w:w="981" w:type="pct"/>
                  <w:vAlign w:val="center"/>
                </w:tcPr>
                <w:p>
                  <w:pPr>
                    <w:contextualSpacing/>
                    <w:jc w:val="center"/>
                    <w:textAlignment w:val="baseline"/>
                    <w:rPr>
                      <w:kern w:val="0"/>
                      <w:szCs w:val="21"/>
                    </w:rPr>
                  </w:pPr>
                  <w:r>
                    <w:rPr>
                      <w:rFonts w:hint="eastAsia"/>
                      <w:kern w:val="0"/>
                      <w:szCs w:val="21"/>
                    </w:rPr>
                    <w:t>6</w:t>
                  </w:r>
                  <w:r>
                    <w:rPr>
                      <w:kern w:val="0"/>
                      <w:szCs w:val="21"/>
                    </w:rPr>
                    <w:t>0</w:t>
                  </w:r>
                  <w:r>
                    <w:rPr>
                      <w:rFonts w:hint="eastAsia"/>
                      <w:kern w:val="0"/>
                      <w:szCs w:val="21"/>
                    </w:rPr>
                    <w:t>万支/年</w:t>
                  </w:r>
                </w:p>
              </w:tc>
              <w:tc>
                <w:tcPr>
                  <w:tcW w:w="981" w:type="pct"/>
                  <w:vAlign w:val="center"/>
                </w:tcPr>
                <w:p>
                  <w:pPr>
                    <w:contextualSpacing/>
                    <w:jc w:val="center"/>
                    <w:textAlignment w:val="baseline"/>
                    <w:rPr>
                      <w:kern w:val="0"/>
                      <w:szCs w:val="21"/>
                      <w:highlight w:val="yellow"/>
                    </w:rPr>
                  </w:pPr>
                  <w:r>
                    <w:rPr>
                      <w:rFonts w:hint="eastAsia"/>
                      <w:kern w:val="0"/>
                      <w:szCs w:val="21"/>
                    </w:rPr>
                    <w:t>/</w:t>
                  </w:r>
                </w:p>
              </w:tc>
              <w:tc>
                <w:tcPr>
                  <w:tcW w:w="1167" w:type="pct"/>
                  <w:vAlign w:val="center"/>
                </w:tcPr>
                <w:p>
                  <w:pPr>
                    <w:contextualSpacing/>
                    <w:jc w:val="center"/>
                    <w:textAlignment w:val="baseline"/>
                    <w:rPr>
                      <w:kern w:val="0"/>
                      <w:szCs w:val="21"/>
                      <w:highlight w:val="yellow"/>
                    </w:rPr>
                  </w:pPr>
                  <w:r>
                    <w:rPr>
                      <w:rFonts w:hint="eastAsia"/>
                      <w:kern w:val="0"/>
                      <w:szCs w:val="21"/>
                    </w:rPr>
                    <w:t>6</w:t>
                  </w:r>
                  <w:r>
                    <w:rPr>
                      <w:kern w:val="0"/>
                      <w:szCs w:val="21"/>
                    </w:rPr>
                    <w:t>0</w:t>
                  </w:r>
                  <w:r>
                    <w:rPr>
                      <w:rFonts w:hint="eastAsia"/>
                      <w:kern w:val="0"/>
                      <w:szCs w:val="21"/>
                    </w:rPr>
                    <w:t>万支/年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Merge w:val="continue"/>
                  <w:vAlign w:val="center"/>
                </w:tcPr>
                <w:p>
                  <w:pPr>
                    <w:contextualSpacing/>
                    <w:jc w:val="center"/>
                    <w:textAlignment w:val="baseline"/>
                    <w:rPr>
                      <w:kern w:val="0"/>
                      <w:szCs w:val="21"/>
                    </w:rPr>
                  </w:pPr>
                </w:p>
              </w:tc>
              <w:tc>
                <w:tcPr>
                  <w:tcW w:w="447" w:type="pct"/>
                  <w:vMerge w:val="continue"/>
                  <w:vAlign w:val="center"/>
                </w:tcPr>
                <w:p>
                  <w:pPr>
                    <w:contextualSpacing/>
                    <w:jc w:val="center"/>
                    <w:textAlignment w:val="baseline"/>
                    <w:rPr>
                      <w:bCs/>
                      <w:color w:val="000000"/>
                      <w:szCs w:val="21"/>
                    </w:rPr>
                  </w:pPr>
                </w:p>
              </w:tc>
              <w:tc>
                <w:tcPr>
                  <w:tcW w:w="1070" w:type="pct"/>
                  <w:vAlign w:val="center"/>
                </w:tcPr>
                <w:p>
                  <w:pPr>
                    <w:contextualSpacing/>
                    <w:jc w:val="center"/>
                    <w:textAlignment w:val="baseline"/>
                    <w:rPr>
                      <w:bCs/>
                      <w:color w:val="000000"/>
                      <w:szCs w:val="21"/>
                    </w:rPr>
                  </w:pPr>
                  <w:r>
                    <w:rPr>
                      <w:rFonts w:hint="eastAsia"/>
                      <w:bCs/>
                      <w:color w:val="000000"/>
                      <w:szCs w:val="21"/>
                    </w:rPr>
                    <w:t>膏体抑菌剂</w:t>
                  </w:r>
                </w:p>
              </w:tc>
              <w:tc>
                <w:tcPr>
                  <w:tcW w:w="981" w:type="pct"/>
                  <w:vAlign w:val="center"/>
                </w:tcPr>
                <w:p>
                  <w:pPr>
                    <w:contextualSpacing/>
                    <w:jc w:val="center"/>
                    <w:textAlignment w:val="baseline"/>
                    <w:rPr>
                      <w:kern w:val="0"/>
                      <w:szCs w:val="21"/>
                    </w:rPr>
                  </w:pPr>
                  <w:r>
                    <w:rPr>
                      <w:kern w:val="0"/>
                      <w:szCs w:val="21"/>
                    </w:rPr>
                    <w:t>140</w:t>
                  </w:r>
                  <w:r>
                    <w:rPr>
                      <w:rFonts w:hint="eastAsia"/>
                      <w:kern w:val="0"/>
                      <w:szCs w:val="21"/>
                    </w:rPr>
                    <w:t>万支/年</w:t>
                  </w:r>
                </w:p>
              </w:tc>
              <w:tc>
                <w:tcPr>
                  <w:tcW w:w="981" w:type="pct"/>
                  <w:vAlign w:val="center"/>
                </w:tcPr>
                <w:p>
                  <w:pPr>
                    <w:contextualSpacing/>
                    <w:jc w:val="center"/>
                    <w:textAlignment w:val="baseline"/>
                    <w:rPr>
                      <w:kern w:val="0"/>
                      <w:szCs w:val="21"/>
                      <w:highlight w:val="yellow"/>
                    </w:rPr>
                  </w:pPr>
                  <w:r>
                    <w:rPr>
                      <w:rFonts w:hint="eastAsia"/>
                      <w:kern w:val="0"/>
                      <w:szCs w:val="21"/>
                    </w:rPr>
                    <w:t>/</w:t>
                  </w:r>
                </w:p>
              </w:tc>
              <w:tc>
                <w:tcPr>
                  <w:tcW w:w="1167" w:type="pct"/>
                  <w:vAlign w:val="center"/>
                </w:tcPr>
                <w:p>
                  <w:pPr>
                    <w:contextualSpacing/>
                    <w:jc w:val="center"/>
                    <w:textAlignment w:val="baseline"/>
                    <w:rPr>
                      <w:kern w:val="0"/>
                      <w:szCs w:val="21"/>
                      <w:highlight w:val="yellow"/>
                    </w:rPr>
                  </w:pPr>
                  <w:r>
                    <w:rPr>
                      <w:kern w:val="0"/>
                      <w:szCs w:val="21"/>
                    </w:rPr>
                    <w:t>140</w:t>
                  </w:r>
                  <w:r>
                    <w:rPr>
                      <w:rFonts w:hint="eastAsia"/>
                      <w:kern w:val="0"/>
                      <w:szCs w:val="21"/>
                    </w:rPr>
                    <w:t>万支/年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4" w:type="pct"/>
                  <w:vAlign w:val="center"/>
                </w:tcPr>
                <w:p>
                  <w:pPr>
                    <w:contextualSpacing/>
                    <w:jc w:val="center"/>
                    <w:textAlignment w:val="baseline"/>
                    <w:rPr>
                      <w:kern w:val="0"/>
                      <w:szCs w:val="21"/>
                    </w:rPr>
                  </w:pPr>
                  <w:r>
                    <w:rPr>
                      <w:rFonts w:hint="eastAsia"/>
                      <w:kern w:val="0"/>
                      <w:szCs w:val="21"/>
                    </w:rPr>
                    <w:t>3</w:t>
                  </w:r>
                </w:p>
              </w:tc>
              <w:tc>
                <w:tcPr>
                  <w:tcW w:w="1517" w:type="pct"/>
                  <w:gridSpan w:val="2"/>
                  <w:vAlign w:val="center"/>
                </w:tcPr>
                <w:p>
                  <w:pPr>
                    <w:contextualSpacing/>
                    <w:jc w:val="center"/>
                    <w:textAlignment w:val="baseline"/>
                    <w:rPr>
                      <w:bCs/>
                      <w:color w:val="000000"/>
                      <w:szCs w:val="21"/>
                    </w:rPr>
                  </w:pPr>
                  <w:r>
                    <w:rPr>
                      <w:rFonts w:hint="eastAsia"/>
                      <w:bCs/>
                      <w:color w:val="000000"/>
                      <w:szCs w:val="21"/>
                    </w:rPr>
                    <w:t>医用口罩</w:t>
                  </w:r>
                </w:p>
              </w:tc>
              <w:tc>
                <w:tcPr>
                  <w:tcW w:w="981" w:type="pct"/>
                  <w:vAlign w:val="center"/>
                </w:tcPr>
                <w:p>
                  <w:pPr>
                    <w:contextualSpacing/>
                    <w:jc w:val="center"/>
                    <w:textAlignment w:val="baseline"/>
                    <w:rPr>
                      <w:kern w:val="0"/>
                      <w:szCs w:val="21"/>
                      <w:highlight w:val="yellow"/>
                    </w:rPr>
                  </w:pPr>
                  <w:r>
                    <w:rPr>
                      <w:rFonts w:hint="eastAsia"/>
                      <w:kern w:val="0"/>
                      <w:szCs w:val="21"/>
                    </w:rPr>
                    <w:t>/</w:t>
                  </w:r>
                </w:p>
              </w:tc>
              <w:tc>
                <w:tcPr>
                  <w:tcW w:w="981" w:type="pct"/>
                  <w:vAlign w:val="center"/>
                </w:tcPr>
                <w:p>
                  <w:pPr>
                    <w:contextualSpacing/>
                    <w:jc w:val="center"/>
                    <w:textAlignment w:val="baseline"/>
                    <w:rPr>
                      <w:kern w:val="0"/>
                      <w:szCs w:val="21"/>
                    </w:rPr>
                  </w:pPr>
                  <w:r>
                    <w:rPr>
                      <w:rFonts w:hint="eastAsia"/>
                      <w:kern w:val="0"/>
                      <w:szCs w:val="21"/>
                    </w:rPr>
                    <w:t>1</w:t>
                  </w:r>
                  <w:r>
                    <w:rPr>
                      <w:kern w:val="0"/>
                      <w:szCs w:val="21"/>
                    </w:rPr>
                    <w:t>000</w:t>
                  </w:r>
                  <w:r>
                    <w:rPr>
                      <w:rFonts w:hint="eastAsia"/>
                      <w:kern w:val="0"/>
                      <w:szCs w:val="21"/>
                    </w:rPr>
                    <w:t>万支/年</w:t>
                  </w:r>
                </w:p>
              </w:tc>
              <w:tc>
                <w:tcPr>
                  <w:tcW w:w="1167" w:type="pct"/>
                  <w:vAlign w:val="center"/>
                </w:tcPr>
                <w:p>
                  <w:pPr>
                    <w:contextualSpacing/>
                    <w:jc w:val="center"/>
                    <w:textAlignment w:val="baseline"/>
                    <w:rPr>
                      <w:kern w:val="0"/>
                      <w:szCs w:val="21"/>
                    </w:rPr>
                  </w:pPr>
                  <w:r>
                    <w:rPr>
                      <w:rFonts w:hint="eastAsia"/>
                      <w:kern w:val="0"/>
                      <w:szCs w:val="21"/>
                    </w:rPr>
                    <w:t>1</w:t>
                  </w:r>
                  <w:r>
                    <w:rPr>
                      <w:kern w:val="0"/>
                      <w:szCs w:val="21"/>
                    </w:rPr>
                    <w:t>000</w:t>
                  </w:r>
                  <w:r>
                    <w:rPr>
                      <w:rFonts w:hint="eastAsia"/>
                      <w:kern w:val="0"/>
                      <w:szCs w:val="21"/>
                    </w:rPr>
                    <w:t>万支/年</w:t>
                  </w:r>
                </w:p>
              </w:tc>
            </w:tr>
          </w:tbl>
          <w:p>
            <w:pPr>
              <w:adjustRightInd w:val="0"/>
              <w:snapToGrid w:val="0"/>
              <w:spacing w:line="460" w:lineRule="exact"/>
              <w:ind w:firstLine="482" w:firstLineChars="200"/>
              <w:rPr>
                <w:b/>
                <w:color w:val="000000"/>
                <w:sz w:val="24"/>
              </w:rPr>
            </w:pPr>
            <w:r>
              <w:rPr>
                <w:rFonts w:hint="eastAsia"/>
                <w:b/>
                <w:color w:val="000000"/>
                <w:sz w:val="24"/>
              </w:rPr>
              <w:t>4</w:t>
            </w:r>
            <w:r>
              <w:rPr>
                <w:b/>
                <w:color w:val="000000"/>
                <w:sz w:val="24"/>
              </w:rPr>
              <w:t>、主要生产设备</w:t>
            </w:r>
          </w:p>
          <w:p>
            <w:pPr>
              <w:adjustRightInd w:val="0"/>
              <w:snapToGrid w:val="0"/>
              <w:spacing w:line="460" w:lineRule="exact"/>
              <w:ind w:firstLine="480" w:firstLineChars="200"/>
              <w:rPr>
                <w:color w:val="000000"/>
                <w:sz w:val="24"/>
              </w:rPr>
            </w:pPr>
            <w:r>
              <w:rPr>
                <w:color w:val="000000"/>
                <w:sz w:val="24"/>
              </w:rPr>
              <w:t>本项目主要设备见下表。</w:t>
            </w:r>
          </w:p>
          <w:p>
            <w:pPr>
              <w:adjustRightInd w:val="0"/>
              <w:snapToGrid w:val="0"/>
              <w:spacing w:line="460" w:lineRule="exact"/>
              <w:ind w:firstLine="480" w:firstLineChars="200"/>
              <w:rPr>
                <w:rFonts w:eastAsia="黑体"/>
                <w:color w:val="000000"/>
                <w:sz w:val="24"/>
                <w:highlight w:val="yellow"/>
              </w:rPr>
            </w:pPr>
            <w:r>
              <w:rPr>
                <w:rFonts w:eastAsia="黑体"/>
                <w:color w:val="000000"/>
                <w:sz w:val="24"/>
                <w:lang w:val="pt-BR"/>
              </w:rPr>
              <w:t>表</w:t>
            </w:r>
            <w:r>
              <w:rPr>
                <w:rFonts w:eastAsia="黑体"/>
                <w:color w:val="000000"/>
                <w:sz w:val="24"/>
              </w:rPr>
              <w:t>12</w:t>
            </w:r>
            <w:r>
              <w:rPr>
                <w:rFonts w:eastAsia="黑体"/>
                <w:color w:val="000000"/>
                <w:sz w:val="24"/>
                <w:lang w:val="pt-BR"/>
              </w:rPr>
              <w:t xml:space="preserve">               </w:t>
            </w:r>
            <w:r>
              <w:rPr>
                <w:rFonts w:hint="eastAsia" w:eastAsia="黑体"/>
                <w:color w:val="000000"/>
                <w:sz w:val="24"/>
                <w:lang w:val="pt-BR"/>
              </w:rPr>
              <w:t xml:space="preserve"> </w:t>
            </w:r>
            <w:r>
              <w:rPr>
                <w:rFonts w:eastAsia="黑体"/>
                <w:color w:val="000000"/>
                <w:sz w:val="24"/>
              </w:rPr>
              <w:t>本项目</w:t>
            </w:r>
            <w:r>
              <w:rPr>
                <w:rFonts w:eastAsia="黑体"/>
                <w:color w:val="000000"/>
                <w:sz w:val="24"/>
                <w:lang w:val="pt-BR"/>
              </w:rPr>
              <w:t>主要生产设备一览表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3"/>
              <w:gridCol w:w="2268"/>
              <w:gridCol w:w="1843"/>
              <w:gridCol w:w="992"/>
              <w:gridCol w:w="1559"/>
              <w:gridCol w:w="7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2268" w:type="dxa"/>
                  <w:tcBorders>
                    <w:top w:val="single" w:color="auto" w:sz="8" w:space="0"/>
                  </w:tcBorders>
                  <w:vAlign w:val="center"/>
                </w:tcPr>
                <w:p>
                  <w:pPr>
                    <w:jc w:val="center"/>
                    <w:rPr>
                      <w:b/>
                      <w:color w:val="000000"/>
                      <w:szCs w:val="21"/>
                      <w:lang w:val="pt-BR"/>
                    </w:rPr>
                  </w:pPr>
                  <w:r>
                    <w:rPr>
                      <w:b/>
                      <w:color w:val="000000"/>
                      <w:szCs w:val="21"/>
                      <w:lang w:val="pt-BR"/>
                    </w:rPr>
                    <w:t>设备名称</w:t>
                  </w:r>
                </w:p>
              </w:tc>
              <w:tc>
                <w:tcPr>
                  <w:tcW w:w="1843" w:type="dxa"/>
                  <w:tcBorders>
                    <w:top w:val="single" w:color="auto" w:sz="8" w:space="0"/>
                  </w:tcBorders>
                  <w:vAlign w:val="center"/>
                </w:tcPr>
                <w:p>
                  <w:pPr>
                    <w:jc w:val="center"/>
                    <w:rPr>
                      <w:b/>
                      <w:color w:val="000000"/>
                      <w:szCs w:val="21"/>
                      <w:lang w:val="pt-BR"/>
                    </w:rPr>
                  </w:pPr>
                  <w:r>
                    <w:rPr>
                      <w:b/>
                      <w:color w:val="000000"/>
                      <w:szCs w:val="21"/>
                      <w:lang w:val="pt-BR"/>
                    </w:rPr>
                    <w:t>型号</w:t>
                  </w:r>
                </w:p>
              </w:tc>
              <w:tc>
                <w:tcPr>
                  <w:tcW w:w="992" w:type="dxa"/>
                  <w:tcBorders>
                    <w:top w:val="single" w:color="auto" w:sz="8" w:space="0"/>
                  </w:tcBorders>
                  <w:vAlign w:val="center"/>
                </w:tcPr>
                <w:p>
                  <w:pPr>
                    <w:jc w:val="center"/>
                    <w:rPr>
                      <w:b/>
                      <w:color w:val="000000"/>
                      <w:szCs w:val="21"/>
                      <w:lang w:val="pt-BR"/>
                    </w:rPr>
                  </w:pPr>
                  <w:r>
                    <w:rPr>
                      <w:b/>
                      <w:color w:val="000000"/>
                      <w:szCs w:val="21"/>
                      <w:lang w:val="pt-BR"/>
                    </w:rPr>
                    <w:t>数</w:t>
                  </w:r>
                  <w:r>
                    <w:rPr>
                      <w:rFonts w:hint="eastAsia"/>
                      <w:b/>
                      <w:color w:val="000000"/>
                      <w:szCs w:val="21"/>
                      <w:lang w:val="pt-BR"/>
                    </w:rPr>
                    <w:t>量</w:t>
                  </w:r>
                </w:p>
              </w:tc>
              <w:tc>
                <w:tcPr>
                  <w:tcW w:w="1559" w:type="dxa"/>
                  <w:tcBorders>
                    <w:top w:val="single" w:color="auto" w:sz="8" w:space="0"/>
                  </w:tcBorders>
                  <w:vAlign w:val="center"/>
                </w:tcPr>
                <w:p>
                  <w:pPr>
                    <w:jc w:val="center"/>
                    <w:rPr>
                      <w:b/>
                      <w:color w:val="000000"/>
                      <w:szCs w:val="21"/>
                      <w:lang w:val="pt-BR"/>
                    </w:rPr>
                  </w:pPr>
                  <w:r>
                    <w:rPr>
                      <w:rFonts w:hint="eastAsia"/>
                      <w:b/>
                      <w:color w:val="000000"/>
                      <w:szCs w:val="21"/>
                      <w:lang w:val="pt-BR"/>
                    </w:rPr>
                    <w:t>使用工序</w:t>
                  </w:r>
                </w:p>
              </w:tc>
              <w:tc>
                <w:tcPr>
                  <w:tcW w:w="720" w:type="dxa"/>
                  <w:tcBorders>
                    <w:top w:val="single" w:color="auto" w:sz="8" w:space="0"/>
                  </w:tcBorders>
                  <w:vAlign w:val="center"/>
                </w:tcPr>
                <w:p>
                  <w:pPr>
                    <w:jc w:val="center"/>
                    <w:rPr>
                      <w:b/>
                      <w:color w:val="000000"/>
                      <w:szCs w:val="21"/>
                      <w:lang w:val="pt-BR"/>
                    </w:rPr>
                  </w:pPr>
                  <w:r>
                    <w:rPr>
                      <w:b/>
                      <w:color w:val="000000"/>
                      <w:szCs w:val="21"/>
                      <w:lang w:val="pt-BR"/>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tcBorders>
                  <w:vAlign w:val="center"/>
                </w:tcPr>
                <w:p>
                  <w:pPr>
                    <w:widowControl/>
                    <w:jc w:val="center"/>
                    <w:rPr>
                      <w:color w:val="000000"/>
                      <w:kern w:val="0"/>
                      <w:szCs w:val="21"/>
                    </w:rPr>
                  </w:pPr>
                  <w:r>
                    <w:rPr>
                      <w:color w:val="000000"/>
                      <w:kern w:val="0"/>
                      <w:szCs w:val="21"/>
                    </w:rPr>
                    <w:t>1</w:t>
                  </w:r>
                </w:p>
              </w:tc>
              <w:tc>
                <w:tcPr>
                  <w:tcW w:w="2268" w:type="dxa"/>
                  <w:tcBorders>
                    <w:top w:val="single" w:color="auto" w:sz="4" w:space="0"/>
                  </w:tcBorders>
                  <w:vAlign w:val="center"/>
                </w:tcPr>
                <w:p>
                  <w:pPr>
                    <w:jc w:val="center"/>
                    <w:rPr>
                      <w:szCs w:val="21"/>
                    </w:rPr>
                  </w:pPr>
                  <w:r>
                    <w:rPr>
                      <w:rFonts w:hint="eastAsia"/>
                      <w:szCs w:val="21"/>
                    </w:rPr>
                    <w:t>平面口罩全自动口罩机</w:t>
                  </w:r>
                </w:p>
              </w:tc>
              <w:tc>
                <w:tcPr>
                  <w:tcW w:w="1843" w:type="dxa"/>
                  <w:tcBorders>
                    <w:top w:val="single" w:color="auto" w:sz="4" w:space="0"/>
                  </w:tcBorders>
                  <w:vAlign w:val="center"/>
                </w:tcPr>
                <w:p>
                  <w:pPr>
                    <w:jc w:val="center"/>
                  </w:pPr>
                  <w:r>
                    <w:rPr>
                      <w:rFonts w:hint="eastAsia"/>
                    </w:rPr>
                    <w:t>全自动一体机</w:t>
                  </w:r>
                </w:p>
              </w:tc>
              <w:tc>
                <w:tcPr>
                  <w:tcW w:w="992" w:type="dxa"/>
                  <w:tcBorders>
                    <w:top w:val="single" w:color="auto" w:sz="4" w:space="0"/>
                  </w:tcBorders>
                  <w:vAlign w:val="center"/>
                </w:tcPr>
                <w:p>
                  <w:pPr>
                    <w:jc w:val="center"/>
                    <w:rPr>
                      <w:color w:val="000000"/>
                      <w:szCs w:val="21"/>
                      <w:lang w:val="pt-BR"/>
                    </w:rPr>
                  </w:pPr>
                  <w:r>
                    <w:rPr>
                      <w:rFonts w:hint="eastAsia"/>
                      <w:color w:val="000000"/>
                      <w:szCs w:val="21"/>
                      <w:lang w:val="pt-BR"/>
                    </w:rPr>
                    <w:t>4</w:t>
                  </w:r>
                </w:p>
              </w:tc>
              <w:tc>
                <w:tcPr>
                  <w:tcW w:w="1559" w:type="dxa"/>
                  <w:tcBorders>
                    <w:top w:val="single" w:color="auto" w:sz="4" w:space="0"/>
                  </w:tcBorders>
                  <w:vAlign w:val="center"/>
                </w:tcPr>
                <w:p>
                  <w:pPr>
                    <w:jc w:val="center"/>
                    <w:rPr>
                      <w:bCs/>
                      <w:color w:val="000000"/>
                      <w:szCs w:val="21"/>
                      <w:lang w:val="pt-BR"/>
                    </w:rPr>
                  </w:pPr>
                  <w:r>
                    <w:rPr>
                      <w:rFonts w:hint="eastAsia"/>
                      <w:bCs/>
                      <w:color w:val="000000"/>
                      <w:szCs w:val="21"/>
                      <w:lang w:val="pt-BR"/>
                    </w:rPr>
                    <w:t>口罩制作</w:t>
                  </w:r>
                </w:p>
              </w:tc>
              <w:tc>
                <w:tcPr>
                  <w:tcW w:w="720" w:type="dxa"/>
                  <w:tcBorders>
                    <w:top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tcBorders>
                  <w:vAlign w:val="center"/>
                </w:tcPr>
                <w:p>
                  <w:pPr>
                    <w:widowControl/>
                    <w:jc w:val="center"/>
                    <w:rPr>
                      <w:color w:val="000000"/>
                      <w:kern w:val="0"/>
                      <w:szCs w:val="21"/>
                    </w:rPr>
                  </w:pPr>
                  <w:r>
                    <w:rPr>
                      <w:rFonts w:hint="eastAsia"/>
                      <w:color w:val="000000"/>
                      <w:kern w:val="0"/>
                      <w:szCs w:val="21"/>
                    </w:rPr>
                    <w:t>2</w:t>
                  </w:r>
                </w:p>
              </w:tc>
              <w:tc>
                <w:tcPr>
                  <w:tcW w:w="2268" w:type="dxa"/>
                  <w:tcBorders>
                    <w:top w:val="single" w:color="auto" w:sz="4" w:space="0"/>
                  </w:tcBorders>
                  <w:vAlign w:val="center"/>
                </w:tcPr>
                <w:p>
                  <w:pPr>
                    <w:jc w:val="center"/>
                    <w:rPr>
                      <w:szCs w:val="21"/>
                    </w:rPr>
                  </w:pPr>
                  <w:r>
                    <w:rPr>
                      <w:rFonts w:hint="eastAsia"/>
                      <w:szCs w:val="21"/>
                    </w:rPr>
                    <w:t>灭菌柜</w:t>
                  </w:r>
                </w:p>
              </w:tc>
              <w:tc>
                <w:tcPr>
                  <w:tcW w:w="1843" w:type="dxa"/>
                  <w:tcBorders>
                    <w:top w:val="single" w:color="auto" w:sz="4" w:space="0"/>
                  </w:tcBorders>
                  <w:vAlign w:val="center"/>
                </w:tcPr>
                <w:p>
                  <w:pPr>
                    <w:jc w:val="center"/>
                  </w:pPr>
                  <w:r>
                    <w:rPr>
                      <w:rFonts w:hint="eastAsia"/>
                    </w:rPr>
                    <w:t>H</w:t>
                  </w:r>
                  <w:r>
                    <w:t>TY-10</w:t>
                  </w:r>
                </w:p>
              </w:tc>
              <w:tc>
                <w:tcPr>
                  <w:tcW w:w="992" w:type="dxa"/>
                  <w:tcBorders>
                    <w:top w:val="single" w:color="auto" w:sz="4" w:space="0"/>
                  </w:tcBorders>
                  <w:vAlign w:val="center"/>
                </w:tcPr>
                <w:p>
                  <w:pPr>
                    <w:jc w:val="center"/>
                    <w:rPr>
                      <w:color w:val="000000"/>
                      <w:szCs w:val="21"/>
                      <w:lang w:val="pt-BR"/>
                    </w:rPr>
                  </w:pPr>
                  <w:r>
                    <w:rPr>
                      <w:rFonts w:hint="eastAsia"/>
                      <w:color w:val="000000"/>
                      <w:szCs w:val="21"/>
                      <w:lang w:val="pt-BR"/>
                    </w:rPr>
                    <w:t>1</w:t>
                  </w:r>
                </w:p>
              </w:tc>
              <w:tc>
                <w:tcPr>
                  <w:tcW w:w="1559" w:type="dxa"/>
                  <w:tcBorders>
                    <w:top w:val="single" w:color="auto" w:sz="4" w:space="0"/>
                  </w:tcBorders>
                  <w:vAlign w:val="center"/>
                </w:tcPr>
                <w:p>
                  <w:pPr>
                    <w:jc w:val="center"/>
                    <w:rPr>
                      <w:bCs/>
                      <w:color w:val="000000"/>
                      <w:szCs w:val="21"/>
                      <w:lang w:val="pt-BR"/>
                    </w:rPr>
                  </w:pPr>
                  <w:r>
                    <w:rPr>
                      <w:rFonts w:hint="eastAsia"/>
                      <w:bCs/>
                      <w:color w:val="000000"/>
                      <w:szCs w:val="21"/>
                      <w:lang w:val="pt-BR"/>
                    </w:rPr>
                    <w:t>灭菌</w:t>
                  </w:r>
                </w:p>
              </w:tc>
              <w:tc>
                <w:tcPr>
                  <w:tcW w:w="720" w:type="dxa"/>
                  <w:tcBorders>
                    <w:top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w:t>
                  </w:r>
                </w:p>
              </w:tc>
              <w:tc>
                <w:tcPr>
                  <w:tcW w:w="2268" w:type="dxa"/>
                  <w:tcBorders>
                    <w:top w:val="single" w:color="auto" w:sz="4" w:space="0"/>
                    <w:bottom w:val="single" w:color="auto" w:sz="4" w:space="0"/>
                  </w:tcBorders>
                  <w:vAlign w:val="center"/>
                </w:tcPr>
                <w:p>
                  <w:pPr>
                    <w:jc w:val="center"/>
                    <w:rPr>
                      <w:szCs w:val="21"/>
                    </w:rPr>
                  </w:pPr>
                  <w:r>
                    <w:rPr>
                      <w:rFonts w:hint="eastAsia"/>
                      <w:szCs w:val="21"/>
                    </w:rPr>
                    <w:t>封口机</w:t>
                  </w:r>
                </w:p>
              </w:tc>
              <w:tc>
                <w:tcPr>
                  <w:tcW w:w="1843" w:type="dxa"/>
                  <w:tcBorders>
                    <w:top w:val="single" w:color="auto" w:sz="4" w:space="0"/>
                    <w:bottom w:val="single" w:color="auto" w:sz="4" w:space="0"/>
                  </w:tcBorders>
                  <w:vAlign w:val="center"/>
                </w:tcPr>
                <w:p>
                  <w:pPr>
                    <w:jc w:val="center"/>
                    <w:rPr>
                      <w:szCs w:val="21"/>
                    </w:rPr>
                  </w:pPr>
                  <w:r>
                    <w:rPr>
                      <w:rFonts w:hint="eastAsia"/>
                      <w:szCs w:val="21"/>
                    </w:rPr>
                    <w:t>F</w:t>
                  </w:r>
                  <w:r>
                    <w:rPr>
                      <w:szCs w:val="21"/>
                    </w:rPr>
                    <w:t>RB-7701</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2</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包装</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4</w:t>
                  </w:r>
                </w:p>
              </w:tc>
              <w:tc>
                <w:tcPr>
                  <w:tcW w:w="2268" w:type="dxa"/>
                  <w:tcBorders>
                    <w:top w:val="single" w:color="auto" w:sz="4" w:space="0"/>
                    <w:bottom w:val="single" w:color="auto" w:sz="4" w:space="0"/>
                  </w:tcBorders>
                  <w:vAlign w:val="center"/>
                </w:tcPr>
                <w:p>
                  <w:pPr>
                    <w:jc w:val="center"/>
                    <w:rPr>
                      <w:szCs w:val="21"/>
                    </w:rPr>
                  </w:pPr>
                  <w:r>
                    <w:rPr>
                      <w:rFonts w:hint="eastAsia"/>
                      <w:szCs w:val="21"/>
                    </w:rPr>
                    <w:t>打包机</w:t>
                  </w:r>
                </w:p>
              </w:tc>
              <w:tc>
                <w:tcPr>
                  <w:tcW w:w="1843" w:type="dxa"/>
                  <w:tcBorders>
                    <w:top w:val="single" w:color="auto" w:sz="4" w:space="0"/>
                    <w:bottom w:val="single" w:color="auto" w:sz="4" w:space="0"/>
                  </w:tcBorders>
                  <w:vAlign w:val="center"/>
                </w:tcPr>
                <w:p>
                  <w:pPr>
                    <w:jc w:val="center"/>
                    <w:rPr>
                      <w:szCs w:val="21"/>
                    </w:rPr>
                  </w:pPr>
                  <w:r>
                    <w:rPr>
                      <w:rFonts w:hint="eastAsia"/>
                      <w:szCs w:val="21"/>
                    </w:rPr>
                    <w:t>/</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包装</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5</w:t>
                  </w:r>
                </w:p>
              </w:tc>
              <w:tc>
                <w:tcPr>
                  <w:tcW w:w="2268" w:type="dxa"/>
                  <w:tcBorders>
                    <w:top w:val="single" w:color="auto" w:sz="4" w:space="0"/>
                    <w:bottom w:val="single" w:color="auto" w:sz="4" w:space="0"/>
                  </w:tcBorders>
                  <w:vAlign w:val="center"/>
                </w:tcPr>
                <w:p>
                  <w:pPr>
                    <w:jc w:val="center"/>
                    <w:rPr>
                      <w:szCs w:val="21"/>
                    </w:rPr>
                  </w:pPr>
                  <w:r>
                    <w:rPr>
                      <w:rFonts w:hint="eastAsia"/>
                      <w:szCs w:val="21"/>
                    </w:rPr>
                    <w:t>生物安全柜</w:t>
                  </w:r>
                </w:p>
              </w:tc>
              <w:tc>
                <w:tcPr>
                  <w:tcW w:w="1843" w:type="dxa"/>
                  <w:tcBorders>
                    <w:top w:val="single" w:color="auto" w:sz="4" w:space="0"/>
                    <w:bottom w:val="single" w:color="auto" w:sz="4" w:space="0"/>
                  </w:tcBorders>
                  <w:vAlign w:val="center"/>
                </w:tcPr>
                <w:p>
                  <w:pPr>
                    <w:jc w:val="center"/>
                    <w:rPr>
                      <w:szCs w:val="21"/>
                    </w:rPr>
                  </w:pPr>
                  <w:r>
                    <w:rPr>
                      <w:rFonts w:hint="eastAsia"/>
                      <w:szCs w:val="21"/>
                    </w:rPr>
                    <w:t>KNE-0234</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6</w:t>
                  </w:r>
                </w:p>
              </w:tc>
              <w:tc>
                <w:tcPr>
                  <w:tcW w:w="2268" w:type="dxa"/>
                  <w:tcBorders>
                    <w:top w:val="single" w:color="auto" w:sz="4" w:space="0"/>
                    <w:bottom w:val="single" w:color="auto" w:sz="4" w:space="0"/>
                  </w:tcBorders>
                  <w:vAlign w:val="center"/>
                </w:tcPr>
                <w:p>
                  <w:pPr>
                    <w:jc w:val="center"/>
                    <w:rPr>
                      <w:szCs w:val="21"/>
                    </w:rPr>
                  </w:pPr>
                  <w:r>
                    <w:rPr>
                      <w:rFonts w:hint="eastAsia"/>
                      <w:szCs w:val="21"/>
                    </w:rPr>
                    <w:t>超净工作台</w:t>
                  </w:r>
                </w:p>
              </w:tc>
              <w:tc>
                <w:tcPr>
                  <w:tcW w:w="1843" w:type="dxa"/>
                  <w:tcBorders>
                    <w:top w:val="single" w:color="auto" w:sz="4" w:space="0"/>
                    <w:bottom w:val="single" w:color="auto" w:sz="4" w:space="0"/>
                  </w:tcBorders>
                  <w:vAlign w:val="center"/>
                </w:tcPr>
                <w:p>
                  <w:pPr>
                    <w:jc w:val="center"/>
                    <w:rPr>
                      <w:szCs w:val="21"/>
                    </w:rPr>
                  </w:pPr>
                  <w:r>
                    <w:rPr>
                      <w:rFonts w:hint="eastAsia"/>
                      <w:szCs w:val="21"/>
                    </w:rPr>
                    <w:t>SW-CJ-1D</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7</w:t>
                  </w:r>
                </w:p>
              </w:tc>
              <w:tc>
                <w:tcPr>
                  <w:tcW w:w="2268" w:type="dxa"/>
                  <w:tcBorders>
                    <w:top w:val="single" w:color="auto" w:sz="4" w:space="0"/>
                    <w:bottom w:val="single" w:color="auto" w:sz="4" w:space="0"/>
                  </w:tcBorders>
                  <w:vAlign w:val="center"/>
                </w:tcPr>
                <w:p>
                  <w:pPr>
                    <w:jc w:val="center"/>
                    <w:rPr>
                      <w:szCs w:val="21"/>
                    </w:rPr>
                  </w:pPr>
                  <w:r>
                    <w:rPr>
                      <w:rFonts w:hint="eastAsia"/>
                      <w:szCs w:val="21"/>
                    </w:rPr>
                    <w:t>气相色谱仪</w:t>
                  </w:r>
                </w:p>
              </w:tc>
              <w:tc>
                <w:tcPr>
                  <w:tcW w:w="1843" w:type="dxa"/>
                  <w:tcBorders>
                    <w:top w:val="single" w:color="auto" w:sz="4" w:space="0"/>
                    <w:bottom w:val="single" w:color="auto" w:sz="4" w:space="0"/>
                  </w:tcBorders>
                  <w:vAlign w:val="center"/>
                </w:tcPr>
                <w:p>
                  <w:pPr>
                    <w:jc w:val="center"/>
                    <w:rPr>
                      <w:szCs w:val="21"/>
                    </w:rPr>
                  </w:pPr>
                  <w:r>
                    <w:rPr>
                      <w:rFonts w:hint="eastAsia"/>
                      <w:szCs w:val="21"/>
                    </w:rPr>
                    <w:t>GC-216A</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8</w:t>
                  </w:r>
                </w:p>
              </w:tc>
              <w:tc>
                <w:tcPr>
                  <w:tcW w:w="2268" w:type="dxa"/>
                  <w:tcBorders>
                    <w:top w:val="single" w:color="auto" w:sz="4" w:space="0"/>
                    <w:bottom w:val="single" w:color="auto" w:sz="4" w:space="0"/>
                  </w:tcBorders>
                  <w:vAlign w:val="center"/>
                </w:tcPr>
                <w:p>
                  <w:pPr>
                    <w:jc w:val="center"/>
                    <w:rPr>
                      <w:szCs w:val="21"/>
                    </w:rPr>
                  </w:pPr>
                  <w:r>
                    <w:rPr>
                      <w:rFonts w:hint="eastAsia" w:ascii="宋体" w:hAnsi="宋体" w:cs="宋体"/>
                      <w:color w:val="000000"/>
                      <w:kern w:val="0"/>
                      <w:szCs w:val="21"/>
                      <w:lang w:bidi="ar"/>
                    </w:rPr>
                    <w:t>高压蒸汽灭菌锅</w:t>
                  </w:r>
                </w:p>
              </w:tc>
              <w:tc>
                <w:tcPr>
                  <w:tcW w:w="1843" w:type="dxa"/>
                  <w:tcBorders>
                    <w:top w:val="single" w:color="auto" w:sz="4" w:space="0"/>
                    <w:bottom w:val="single" w:color="auto" w:sz="4" w:space="0"/>
                  </w:tcBorders>
                  <w:vAlign w:val="center"/>
                </w:tcPr>
                <w:p>
                  <w:pPr>
                    <w:jc w:val="center"/>
                    <w:rPr>
                      <w:szCs w:val="21"/>
                    </w:rPr>
                  </w:pPr>
                  <w:r>
                    <w:rPr>
                      <w:rFonts w:hint="eastAsia"/>
                      <w:szCs w:val="21"/>
                    </w:rPr>
                    <w:t>XFS-280</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9</w:t>
                  </w:r>
                </w:p>
              </w:tc>
              <w:tc>
                <w:tcPr>
                  <w:tcW w:w="2268" w:type="dxa"/>
                  <w:tcBorders>
                    <w:top w:val="single" w:color="auto" w:sz="4" w:space="0"/>
                    <w:bottom w:val="single" w:color="auto" w:sz="4" w:space="0"/>
                  </w:tcBorders>
                  <w:vAlign w:val="center"/>
                </w:tcPr>
                <w:p>
                  <w:pPr>
                    <w:jc w:val="center"/>
                    <w:rPr>
                      <w:szCs w:val="21"/>
                    </w:rPr>
                  </w:pPr>
                  <w:r>
                    <w:rPr>
                      <w:rFonts w:hint="eastAsia" w:ascii="宋体" w:hAnsi="宋体" w:cs="宋体"/>
                      <w:color w:val="000000"/>
                      <w:kern w:val="0"/>
                      <w:szCs w:val="21"/>
                      <w:lang w:bidi="ar"/>
                    </w:rPr>
                    <w:t>电热鼓风干燥箱</w:t>
                  </w:r>
                </w:p>
              </w:tc>
              <w:tc>
                <w:tcPr>
                  <w:tcW w:w="1843" w:type="dxa"/>
                  <w:tcBorders>
                    <w:top w:val="single" w:color="auto" w:sz="4" w:space="0"/>
                    <w:bottom w:val="single" w:color="auto" w:sz="4" w:space="0"/>
                  </w:tcBorders>
                  <w:vAlign w:val="center"/>
                </w:tcPr>
                <w:p>
                  <w:pPr>
                    <w:jc w:val="center"/>
                    <w:rPr>
                      <w:szCs w:val="21"/>
                    </w:rPr>
                  </w:pPr>
                  <w:r>
                    <w:rPr>
                      <w:rFonts w:hint="eastAsia"/>
                      <w:szCs w:val="21"/>
                    </w:rPr>
                    <w:t>101-0A</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1</w:t>
                  </w:r>
                  <w:r>
                    <w:rPr>
                      <w:color w:val="000000"/>
                      <w:kern w:val="0"/>
                      <w:szCs w:val="21"/>
                    </w:rPr>
                    <w:t>0</w:t>
                  </w:r>
                </w:p>
              </w:tc>
              <w:tc>
                <w:tcPr>
                  <w:tcW w:w="2268" w:type="dxa"/>
                  <w:tcBorders>
                    <w:top w:val="single" w:color="auto" w:sz="4" w:space="0"/>
                    <w:bottom w:val="single" w:color="auto" w:sz="4" w:space="0"/>
                  </w:tcBorders>
                  <w:vAlign w:val="center"/>
                </w:tcPr>
                <w:p>
                  <w:pPr>
                    <w:jc w:val="center"/>
                    <w:rPr>
                      <w:szCs w:val="21"/>
                    </w:rPr>
                  </w:pPr>
                  <w:r>
                    <w:rPr>
                      <w:rFonts w:hint="eastAsia"/>
                      <w:szCs w:val="21"/>
                    </w:rPr>
                    <w:t>阻燃测试仪</w:t>
                  </w:r>
                </w:p>
              </w:tc>
              <w:tc>
                <w:tcPr>
                  <w:tcW w:w="1843" w:type="dxa"/>
                  <w:tcBorders>
                    <w:top w:val="single" w:color="auto" w:sz="4" w:space="0"/>
                    <w:bottom w:val="single" w:color="auto" w:sz="4" w:space="0"/>
                  </w:tcBorders>
                  <w:vAlign w:val="center"/>
                </w:tcPr>
                <w:p>
                  <w:pPr>
                    <w:jc w:val="center"/>
                    <w:rPr>
                      <w:szCs w:val="21"/>
                    </w:rPr>
                  </w:pPr>
                  <w:r>
                    <w:rPr>
                      <w:rFonts w:hint="eastAsia"/>
                      <w:szCs w:val="21"/>
                    </w:rPr>
                    <w:t>BLD-CI816</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1</w:t>
                  </w:r>
                  <w:r>
                    <w:rPr>
                      <w:color w:val="000000"/>
                      <w:kern w:val="0"/>
                      <w:szCs w:val="21"/>
                    </w:rPr>
                    <w:t>1</w:t>
                  </w:r>
                </w:p>
              </w:tc>
              <w:tc>
                <w:tcPr>
                  <w:tcW w:w="2268" w:type="dxa"/>
                  <w:tcBorders>
                    <w:top w:val="single" w:color="auto" w:sz="4" w:space="0"/>
                    <w:bottom w:val="single" w:color="auto" w:sz="4" w:space="0"/>
                  </w:tcBorders>
                  <w:vAlign w:val="center"/>
                </w:tcPr>
                <w:p>
                  <w:pPr>
                    <w:jc w:val="center"/>
                    <w:rPr>
                      <w:szCs w:val="21"/>
                    </w:rPr>
                  </w:pPr>
                  <w:r>
                    <w:rPr>
                      <w:rFonts w:hint="eastAsia" w:ascii="宋体" w:hAnsi="宋体" w:cs="宋体"/>
                      <w:color w:val="000000"/>
                      <w:kern w:val="0"/>
                      <w:szCs w:val="21"/>
                      <w:lang w:bidi="ar"/>
                    </w:rPr>
                    <w:t>拉力试验机</w:t>
                  </w:r>
                </w:p>
              </w:tc>
              <w:tc>
                <w:tcPr>
                  <w:tcW w:w="1843" w:type="dxa"/>
                  <w:tcBorders>
                    <w:top w:val="single" w:color="auto" w:sz="4" w:space="0"/>
                    <w:bottom w:val="single" w:color="auto" w:sz="4" w:space="0"/>
                  </w:tcBorders>
                  <w:vAlign w:val="center"/>
                </w:tcPr>
                <w:p>
                  <w:pPr>
                    <w:jc w:val="center"/>
                    <w:rPr>
                      <w:szCs w:val="21"/>
                    </w:rPr>
                  </w:pPr>
                  <w:r>
                    <w:rPr>
                      <w:rFonts w:hint="eastAsia"/>
                      <w:szCs w:val="21"/>
                    </w:rPr>
                    <w:t>WDW-02S</w:t>
                  </w:r>
                </w:p>
              </w:tc>
              <w:tc>
                <w:tcPr>
                  <w:tcW w:w="992"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bottom w:val="single" w:color="auto" w:sz="4" w:space="0"/>
                  </w:tcBorders>
                  <w:vAlign w:val="center"/>
                </w:tcPr>
                <w:p>
                  <w:pPr>
                    <w:jc w:val="center"/>
                    <w:rPr>
                      <w:bCs/>
                      <w:color w:val="000000"/>
                      <w:szCs w:val="21"/>
                      <w:lang w:val="pt-BR"/>
                    </w:rPr>
                  </w:pPr>
                  <w:r>
                    <w:rPr>
                      <w:rFonts w:hint="eastAsia"/>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3" w:type="dxa"/>
                  <w:tcBorders>
                    <w:top w:val="single" w:color="auto" w:sz="4" w:space="0"/>
                  </w:tcBorders>
                  <w:vAlign w:val="center"/>
                </w:tcPr>
                <w:p>
                  <w:pPr>
                    <w:jc w:val="center"/>
                    <w:rPr>
                      <w:color w:val="000000"/>
                      <w:kern w:val="0"/>
                      <w:szCs w:val="21"/>
                    </w:rPr>
                  </w:pPr>
                  <w:r>
                    <w:rPr>
                      <w:rFonts w:hint="eastAsia"/>
                      <w:color w:val="000000"/>
                      <w:kern w:val="0"/>
                      <w:szCs w:val="21"/>
                    </w:rPr>
                    <w:t>1</w:t>
                  </w:r>
                  <w:r>
                    <w:rPr>
                      <w:color w:val="000000"/>
                      <w:kern w:val="0"/>
                      <w:szCs w:val="21"/>
                    </w:rPr>
                    <w:t>2</w:t>
                  </w:r>
                </w:p>
              </w:tc>
              <w:tc>
                <w:tcPr>
                  <w:tcW w:w="2268" w:type="dxa"/>
                  <w:tcBorders>
                    <w:top w:val="single" w:color="auto" w:sz="4"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气体交换压力差测试仪（通气阻力）</w:t>
                  </w:r>
                </w:p>
              </w:tc>
              <w:tc>
                <w:tcPr>
                  <w:tcW w:w="1843" w:type="dxa"/>
                  <w:tcBorders>
                    <w:top w:val="single" w:color="auto" w:sz="4" w:space="0"/>
                  </w:tcBorders>
                  <w:vAlign w:val="center"/>
                </w:tcPr>
                <w:p>
                  <w:pPr>
                    <w:jc w:val="center"/>
                    <w:rPr>
                      <w:szCs w:val="21"/>
                    </w:rPr>
                  </w:pPr>
                  <w:r>
                    <w:rPr>
                      <w:rFonts w:hint="eastAsia"/>
                      <w:szCs w:val="21"/>
                    </w:rPr>
                    <w:t>YYKZ-222</w:t>
                  </w:r>
                </w:p>
              </w:tc>
              <w:tc>
                <w:tcPr>
                  <w:tcW w:w="992" w:type="dxa"/>
                  <w:tcBorders>
                    <w:top w:val="single" w:color="auto" w:sz="4" w:space="0"/>
                  </w:tcBorders>
                  <w:vAlign w:val="center"/>
                </w:tcPr>
                <w:p>
                  <w:pPr>
                    <w:jc w:val="center"/>
                    <w:rPr>
                      <w:bCs/>
                      <w:color w:val="000000"/>
                      <w:szCs w:val="21"/>
                      <w:lang w:val="pt-BR"/>
                    </w:rPr>
                  </w:pPr>
                  <w:r>
                    <w:rPr>
                      <w:rFonts w:hint="eastAsia"/>
                      <w:bCs/>
                      <w:color w:val="000000"/>
                      <w:szCs w:val="21"/>
                      <w:lang w:val="pt-BR"/>
                    </w:rPr>
                    <w:t>1</w:t>
                  </w:r>
                </w:p>
              </w:tc>
              <w:tc>
                <w:tcPr>
                  <w:tcW w:w="1559" w:type="dxa"/>
                  <w:tcBorders>
                    <w:top w:val="single" w:color="auto" w:sz="4" w:space="0"/>
                  </w:tcBorders>
                  <w:vAlign w:val="center"/>
                </w:tcPr>
                <w:p>
                  <w:pPr>
                    <w:jc w:val="center"/>
                    <w:rPr>
                      <w:bCs/>
                      <w:color w:val="000000"/>
                      <w:szCs w:val="21"/>
                      <w:lang w:val="pt-BR"/>
                    </w:rPr>
                  </w:pPr>
                  <w:r>
                    <w:rPr>
                      <w:rFonts w:hint="eastAsia"/>
                      <w:bCs/>
                      <w:color w:val="000000"/>
                      <w:szCs w:val="21"/>
                      <w:lang w:val="pt-BR"/>
                    </w:rPr>
                    <w:t>实验室设备</w:t>
                  </w:r>
                </w:p>
              </w:tc>
              <w:tc>
                <w:tcPr>
                  <w:tcW w:w="720" w:type="dxa"/>
                  <w:tcBorders>
                    <w:top w:val="single" w:color="auto" w:sz="4" w:space="0"/>
                  </w:tcBorders>
                  <w:vAlign w:val="center"/>
                </w:tcPr>
                <w:p>
                  <w:pPr>
                    <w:jc w:val="center"/>
                    <w:rPr>
                      <w:bCs/>
                      <w:color w:val="000000"/>
                      <w:szCs w:val="21"/>
                      <w:lang w:val="pt-BR"/>
                    </w:rPr>
                  </w:pPr>
                  <w:r>
                    <w:rPr>
                      <w:rFonts w:hint="eastAsia"/>
                      <w:bCs/>
                      <w:color w:val="000000"/>
                      <w:szCs w:val="21"/>
                      <w:lang w:val="pt-BR"/>
                    </w:rPr>
                    <w:t>新建</w:t>
                  </w:r>
                </w:p>
              </w:tc>
            </w:tr>
          </w:tbl>
          <w:p>
            <w:pPr>
              <w:adjustRightInd w:val="0"/>
              <w:snapToGrid w:val="0"/>
              <w:spacing w:line="460" w:lineRule="exact"/>
              <w:ind w:firstLine="482" w:firstLineChars="200"/>
              <w:rPr>
                <w:b/>
                <w:color w:val="000000"/>
                <w:sz w:val="24"/>
              </w:rPr>
            </w:pPr>
            <w:r>
              <w:rPr>
                <w:rFonts w:hint="eastAsia"/>
                <w:b/>
                <w:color w:val="000000"/>
                <w:sz w:val="24"/>
              </w:rPr>
              <w:t>5</w:t>
            </w:r>
            <w:r>
              <w:rPr>
                <w:b/>
                <w:color w:val="000000"/>
                <w:sz w:val="24"/>
              </w:rPr>
              <w:t>、原辅材料及资源能源消耗量</w:t>
            </w:r>
          </w:p>
          <w:p>
            <w:pPr>
              <w:adjustRightInd w:val="0"/>
              <w:snapToGrid w:val="0"/>
              <w:spacing w:line="460" w:lineRule="exact"/>
              <w:ind w:firstLine="480" w:firstLineChars="200"/>
              <w:rPr>
                <w:color w:val="000000"/>
                <w:sz w:val="24"/>
              </w:rPr>
            </w:pPr>
            <w:r>
              <w:rPr>
                <w:color w:val="000000"/>
                <w:sz w:val="24"/>
              </w:rPr>
              <w:t>本项目原辅材料消耗量见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bCs/>
                <w:color w:val="000000"/>
                <w:sz w:val="24"/>
              </w:rPr>
              <w:t>13</w:t>
            </w:r>
            <w:r>
              <w:rPr>
                <w:rFonts w:eastAsia="黑体"/>
                <w:color w:val="000000"/>
                <w:sz w:val="24"/>
                <w:lang w:val="pt-BR"/>
              </w:rPr>
              <w:t xml:space="preserve">            本项目原辅材料</w:t>
            </w:r>
            <w:r>
              <w:rPr>
                <w:rFonts w:eastAsia="黑体"/>
                <w:color w:val="000000"/>
                <w:sz w:val="24"/>
              </w:rPr>
              <w:t>及资源能源</w:t>
            </w:r>
            <w:r>
              <w:rPr>
                <w:rFonts w:eastAsia="黑体"/>
                <w:color w:val="000000"/>
                <w:sz w:val="24"/>
                <w:lang w:val="pt-BR"/>
              </w:rPr>
              <w:t>消耗量</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49"/>
              <w:gridCol w:w="1487"/>
              <w:gridCol w:w="1703"/>
              <w:gridCol w:w="1273"/>
              <w:gridCol w:w="1135"/>
              <w:gridCol w:w="992"/>
              <w:gridCol w:w="1006"/>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220" w:type="pct"/>
                  <w:vAlign w:val="center"/>
                </w:tcPr>
                <w:p>
                  <w:pPr>
                    <w:jc w:val="center"/>
                    <w:rPr>
                      <w:rFonts w:cs="宋体"/>
                      <w:b/>
                      <w:color w:val="000000"/>
                      <w:szCs w:val="20"/>
                    </w:rPr>
                  </w:pPr>
                  <w:r>
                    <w:rPr>
                      <w:b/>
                      <w:color w:val="000000"/>
                      <w:szCs w:val="21"/>
                      <w:lang w:val="pt-BR"/>
                    </w:rPr>
                    <w:t>序号</w:t>
                  </w:r>
                </w:p>
              </w:tc>
              <w:tc>
                <w:tcPr>
                  <w:tcW w:w="936" w:type="pct"/>
                  <w:vAlign w:val="center"/>
                </w:tcPr>
                <w:p>
                  <w:pPr>
                    <w:jc w:val="center"/>
                    <w:rPr>
                      <w:rFonts w:cs="宋体"/>
                      <w:b/>
                      <w:color w:val="000000"/>
                      <w:szCs w:val="20"/>
                    </w:rPr>
                  </w:pPr>
                  <w:r>
                    <w:rPr>
                      <w:rFonts w:hint="eastAsia" w:cs="宋体"/>
                      <w:b/>
                      <w:color w:val="000000"/>
                      <w:szCs w:val="20"/>
                    </w:rPr>
                    <w:t>原料名称</w:t>
                  </w:r>
                </w:p>
              </w:tc>
              <w:tc>
                <w:tcPr>
                  <w:tcW w:w="1072" w:type="pct"/>
                  <w:vAlign w:val="center"/>
                </w:tcPr>
                <w:p>
                  <w:pPr>
                    <w:jc w:val="center"/>
                    <w:rPr>
                      <w:rFonts w:cs="宋体"/>
                      <w:b/>
                      <w:color w:val="000000"/>
                      <w:szCs w:val="20"/>
                    </w:rPr>
                  </w:pPr>
                  <w:r>
                    <w:rPr>
                      <w:rFonts w:hint="eastAsia" w:cs="宋体"/>
                      <w:b/>
                      <w:color w:val="000000"/>
                      <w:szCs w:val="20"/>
                    </w:rPr>
                    <w:t>规格</w:t>
                  </w:r>
                </w:p>
              </w:tc>
              <w:tc>
                <w:tcPr>
                  <w:tcW w:w="801" w:type="pct"/>
                  <w:tcBorders>
                    <w:right w:val="single" w:color="auto" w:sz="4" w:space="0"/>
                  </w:tcBorders>
                  <w:vAlign w:val="center"/>
                </w:tcPr>
                <w:p>
                  <w:pPr>
                    <w:jc w:val="center"/>
                    <w:rPr>
                      <w:rFonts w:cs="宋体"/>
                      <w:b/>
                      <w:color w:val="000000"/>
                      <w:szCs w:val="20"/>
                    </w:rPr>
                  </w:pPr>
                  <w:r>
                    <w:rPr>
                      <w:rFonts w:hint="eastAsia" w:cs="宋体"/>
                      <w:b/>
                      <w:color w:val="000000"/>
                      <w:szCs w:val="20"/>
                    </w:rPr>
                    <w:t>扩建前用量</w:t>
                  </w:r>
                </w:p>
              </w:tc>
              <w:tc>
                <w:tcPr>
                  <w:tcW w:w="714" w:type="pct"/>
                  <w:tcBorders>
                    <w:left w:val="single" w:color="auto" w:sz="4" w:space="0"/>
                  </w:tcBorders>
                  <w:vAlign w:val="center"/>
                </w:tcPr>
                <w:p>
                  <w:pPr>
                    <w:jc w:val="center"/>
                    <w:rPr>
                      <w:rFonts w:cs="宋体"/>
                      <w:b/>
                      <w:color w:val="000000"/>
                      <w:szCs w:val="20"/>
                    </w:rPr>
                  </w:pPr>
                  <w:r>
                    <w:rPr>
                      <w:rFonts w:hint="eastAsia" w:cs="宋体"/>
                      <w:b/>
                      <w:color w:val="000000"/>
                      <w:szCs w:val="20"/>
                    </w:rPr>
                    <w:t>扩建后用量</w:t>
                  </w:r>
                </w:p>
              </w:tc>
              <w:tc>
                <w:tcPr>
                  <w:tcW w:w="624" w:type="pct"/>
                  <w:tcBorders>
                    <w:left w:val="single" w:color="auto" w:sz="4" w:space="0"/>
                    <w:right w:val="single" w:color="auto" w:sz="4" w:space="0"/>
                  </w:tcBorders>
                  <w:vAlign w:val="center"/>
                </w:tcPr>
                <w:p>
                  <w:pPr>
                    <w:jc w:val="center"/>
                    <w:rPr>
                      <w:rFonts w:cs="宋体"/>
                      <w:b/>
                      <w:color w:val="000000"/>
                      <w:szCs w:val="20"/>
                    </w:rPr>
                  </w:pPr>
                  <w:r>
                    <w:rPr>
                      <w:rFonts w:hint="eastAsia" w:cs="宋体"/>
                      <w:b/>
                      <w:color w:val="000000"/>
                      <w:szCs w:val="20"/>
                    </w:rPr>
                    <w:t>增减量</w:t>
                  </w:r>
                </w:p>
              </w:tc>
              <w:tc>
                <w:tcPr>
                  <w:tcW w:w="633" w:type="pct"/>
                  <w:tcBorders>
                    <w:left w:val="single" w:color="auto" w:sz="4" w:space="0"/>
                  </w:tcBorders>
                  <w:vAlign w:val="center"/>
                </w:tcPr>
                <w:p>
                  <w:pPr>
                    <w:jc w:val="center"/>
                    <w:rPr>
                      <w:rFonts w:cs="宋体"/>
                      <w:b/>
                      <w:color w:val="000000"/>
                      <w:szCs w:val="20"/>
                    </w:rPr>
                  </w:pPr>
                  <w:r>
                    <w:rPr>
                      <w:rFonts w:hint="eastAsia" w:cs="宋体"/>
                      <w:b/>
                      <w:color w:val="000000"/>
                      <w:szCs w:val="20"/>
                    </w:rPr>
                    <w:t>备注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color w:val="000000"/>
                      <w:szCs w:val="21"/>
                      <w:lang w:val="pt-BR"/>
                    </w:rPr>
                    <w:t>医用口罩</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p>
              </w:tc>
              <w:tc>
                <w:tcPr>
                  <w:tcW w:w="936" w:type="pct"/>
                  <w:vAlign w:val="center"/>
                </w:tcPr>
                <w:p>
                  <w:pPr>
                    <w:jc w:val="center"/>
                    <w:rPr>
                      <w:szCs w:val="21"/>
                    </w:rPr>
                  </w:pPr>
                  <w:r>
                    <w:rPr>
                      <w:rFonts w:hint="eastAsia"/>
                      <w:szCs w:val="21"/>
                    </w:rPr>
                    <w:t>无纺布</w:t>
                  </w:r>
                </w:p>
              </w:tc>
              <w:tc>
                <w:tcPr>
                  <w:tcW w:w="1072" w:type="pct"/>
                  <w:vAlign w:val="center"/>
                </w:tcPr>
                <w:p>
                  <w:pPr>
                    <w:jc w:val="center"/>
                    <w:rPr>
                      <w:szCs w:val="21"/>
                    </w:rPr>
                  </w:pPr>
                  <w:r>
                    <w:rPr>
                      <w:rFonts w:hint="eastAsia"/>
                      <w:color w:val="000000"/>
                      <w:szCs w:val="21"/>
                      <w:lang w:val="pt-BR"/>
                    </w:rPr>
                    <w:t>卷装，</w:t>
                  </w:r>
                  <w:r>
                    <w:rPr>
                      <w:rFonts w:hint="eastAsia"/>
                      <w:szCs w:val="21"/>
                    </w:rPr>
                    <w:t>宽幅1</w:t>
                  </w:r>
                  <w:r>
                    <w:rPr>
                      <w:szCs w:val="21"/>
                    </w:rPr>
                    <w:t>7.5cm</w:t>
                  </w:r>
                </w:p>
              </w:tc>
              <w:tc>
                <w:tcPr>
                  <w:tcW w:w="801" w:type="pct"/>
                  <w:tcBorders>
                    <w:right w:val="single" w:color="auto" w:sz="4" w:space="0"/>
                  </w:tcBorders>
                  <w:vAlign w:val="center"/>
                </w:tcPr>
                <w:p>
                  <w:pPr>
                    <w:jc w:val="center"/>
                    <w:rPr>
                      <w:szCs w:val="21"/>
                    </w:rPr>
                  </w:pPr>
                  <w:r>
                    <w:rPr>
                      <w:rFonts w:hint="eastAsia"/>
                      <w:szCs w:val="21"/>
                    </w:rPr>
                    <w:t>0</w:t>
                  </w:r>
                </w:p>
              </w:tc>
              <w:tc>
                <w:tcPr>
                  <w:tcW w:w="714" w:type="pct"/>
                  <w:tcBorders>
                    <w:left w:val="single" w:color="auto" w:sz="4" w:space="0"/>
                  </w:tcBorders>
                  <w:shd w:val="clear" w:color="auto" w:fill="auto"/>
                  <w:vAlign w:val="center"/>
                </w:tcPr>
                <w:p>
                  <w:pPr>
                    <w:jc w:val="center"/>
                    <w:rPr>
                      <w:szCs w:val="21"/>
                    </w:rPr>
                  </w:pPr>
                  <w:r>
                    <w:rPr>
                      <w:rFonts w:hint="eastAsia"/>
                      <w:szCs w:val="21"/>
                    </w:rPr>
                    <w:t>1</w:t>
                  </w:r>
                  <w:r>
                    <w:rPr>
                      <w:szCs w:val="21"/>
                    </w:rPr>
                    <w:t>0t/a</w:t>
                  </w:r>
                </w:p>
              </w:tc>
              <w:tc>
                <w:tcPr>
                  <w:tcW w:w="624" w:type="pct"/>
                  <w:tcBorders>
                    <w:left w:val="single" w:color="auto" w:sz="4" w:space="0"/>
                    <w:right w:val="single" w:color="auto" w:sz="4" w:space="0"/>
                  </w:tcBorders>
                  <w:vAlign w:val="center"/>
                </w:tcPr>
                <w:p>
                  <w:pPr>
                    <w:jc w:val="center"/>
                    <w:rPr>
                      <w:color w:val="000000"/>
                      <w:szCs w:val="21"/>
                      <w:lang w:val="pt-BR"/>
                    </w:rPr>
                  </w:pPr>
                  <w:r>
                    <w:rPr>
                      <w:szCs w:val="21"/>
                    </w:rPr>
                    <w:t>+</w:t>
                  </w:r>
                  <w:r>
                    <w:rPr>
                      <w:rFonts w:hint="eastAsia"/>
                      <w:szCs w:val="21"/>
                    </w:rPr>
                    <w:t>1</w:t>
                  </w:r>
                  <w:r>
                    <w:rPr>
                      <w:szCs w:val="21"/>
                    </w:rPr>
                    <w:t>0t/a</w:t>
                  </w:r>
                </w:p>
              </w:tc>
              <w:tc>
                <w:tcPr>
                  <w:tcW w:w="633" w:type="pct"/>
                  <w:tcBorders>
                    <w:left w:val="single" w:color="auto" w:sz="4" w:space="0"/>
                  </w:tcBorders>
                  <w:shd w:val="clear" w:color="auto" w:fill="auto"/>
                  <w:vAlign w:val="center"/>
                </w:tcPr>
                <w:p>
                  <w:pPr>
                    <w:jc w:val="center"/>
                    <w:rPr>
                      <w:szCs w:val="21"/>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p>
              </w:tc>
              <w:tc>
                <w:tcPr>
                  <w:tcW w:w="936" w:type="pct"/>
                  <w:vAlign w:val="center"/>
                </w:tcPr>
                <w:p>
                  <w:pPr>
                    <w:jc w:val="center"/>
                    <w:rPr>
                      <w:szCs w:val="21"/>
                    </w:rPr>
                  </w:pPr>
                  <w:r>
                    <w:rPr>
                      <w:rFonts w:hint="eastAsia"/>
                      <w:szCs w:val="21"/>
                    </w:rPr>
                    <w:t>熔喷布</w:t>
                  </w:r>
                </w:p>
              </w:tc>
              <w:tc>
                <w:tcPr>
                  <w:tcW w:w="1072" w:type="pct"/>
                  <w:vAlign w:val="center"/>
                </w:tcPr>
                <w:p>
                  <w:pPr>
                    <w:jc w:val="center"/>
                    <w:rPr>
                      <w:szCs w:val="21"/>
                    </w:rPr>
                  </w:pPr>
                  <w:r>
                    <w:rPr>
                      <w:rFonts w:hint="eastAsia"/>
                      <w:color w:val="000000"/>
                      <w:szCs w:val="21"/>
                      <w:lang w:val="pt-BR"/>
                    </w:rPr>
                    <w:t>卷装，</w:t>
                  </w:r>
                  <w:r>
                    <w:rPr>
                      <w:rFonts w:hint="eastAsia"/>
                      <w:szCs w:val="21"/>
                    </w:rPr>
                    <w:t>宽幅1</w:t>
                  </w:r>
                  <w:r>
                    <w:rPr>
                      <w:szCs w:val="21"/>
                    </w:rPr>
                    <w:t>7.5cm</w:t>
                  </w:r>
                </w:p>
              </w:tc>
              <w:tc>
                <w:tcPr>
                  <w:tcW w:w="801" w:type="pct"/>
                  <w:tcBorders>
                    <w:right w:val="single" w:color="auto" w:sz="4" w:space="0"/>
                  </w:tcBorders>
                  <w:vAlign w:val="center"/>
                </w:tcPr>
                <w:p>
                  <w:pPr>
                    <w:jc w:val="center"/>
                    <w:rPr>
                      <w:szCs w:val="21"/>
                    </w:rPr>
                  </w:pPr>
                  <w:r>
                    <w:rPr>
                      <w:rFonts w:hint="eastAsia"/>
                      <w:szCs w:val="21"/>
                    </w:rPr>
                    <w:t>0</w:t>
                  </w:r>
                </w:p>
              </w:tc>
              <w:tc>
                <w:tcPr>
                  <w:tcW w:w="714" w:type="pct"/>
                  <w:tcBorders>
                    <w:left w:val="single" w:color="auto" w:sz="4" w:space="0"/>
                  </w:tcBorders>
                  <w:shd w:val="clear" w:color="auto" w:fill="auto"/>
                  <w:vAlign w:val="center"/>
                </w:tcPr>
                <w:p>
                  <w:pPr>
                    <w:jc w:val="center"/>
                    <w:rPr>
                      <w:szCs w:val="21"/>
                    </w:rPr>
                  </w:pPr>
                  <w:r>
                    <w:rPr>
                      <w:rFonts w:hint="eastAsia"/>
                      <w:szCs w:val="21"/>
                    </w:rPr>
                    <w:t>1</w:t>
                  </w:r>
                  <w:r>
                    <w:rPr>
                      <w:szCs w:val="21"/>
                    </w:rPr>
                    <w:t>0t/a</w:t>
                  </w:r>
                </w:p>
              </w:tc>
              <w:tc>
                <w:tcPr>
                  <w:tcW w:w="624" w:type="pct"/>
                  <w:tcBorders>
                    <w:left w:val="single" w:color="auto" w:sz="4" w:space="0"/>
                    <w:right w:val="single" w:color="auto" w:sz="4" w:space="0"/>
                  </w:tcBorders>
                  <w:vAlign w:val="center"/>
                </w:tcPr>
                <w:p>
                  <w:pPr>
                    <w:jc w:val="center"/>
                    <w:rPr>
                      <w:color w:val="000000"/>
                      <w:szCs w:val="21"/>
                      <w:lang w:val="pt-BR"/>
                    </w:rPr>
                  </w:pPr>
                  <w:r>
                    <w:rPr>
                      <w:szCs w:val="21"/>
                    </w:rPr>
                    <w:t>+</w:t>
                  </w:r>
                  <w:r>
                    <w:rPr>
                      <w:rFonts w:hint="eastAsia"/>
                      <w:szCs w:val="21"/>
                    </w:rPr>
                    <w:t>1</w:t>
                  </w:r>
                  <w:r>
                    <w:rPr>
                      <w:szCs w:val="21"/>
                    </w:rPr>
                    <w:t>0t/a</w:t>
                  </w:r>
                </w:p>
              </w:tc>
              <w:tc>
                <w:tcPr>
                  <w:tcW w:w="633" w:type="pct"/>
                  <w:tcBorders>
                    <w:left w:val="single" w:color="auto" w:sz="4" w:space="0"/>
                  </w:tcBorders>
                  <w:shd w:val="clear" w:color="auto" w:fill="auto"/>
                  <w:vAlign w:val="center"/>
                </w:tcPr>
                <w:p>
                  <w:pPr>
                    <w:jc w:val="center"/>
                    <w:rPr>
                      <w:szCs w:val="21"/>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p>
              </w:tc>
              <w:tc>
                <w:tcPr>
                  <w:tcW w:w="936" w:type="pct"/>
                  <w:vAlign w:val="center"/>
                </w:tcPr>
                <w:p>
                  <w:pPr>
                    <w:jc w:val="center"/>
                    <w:rPr>
                      <w:szCs w:val="21"/>
                    </w:rPr>
                  </w:pPr>
                  <w:r>
                    <w:rPr>
                      <w:rFonts w:hint="eastAsia"/>
                      <w:szCs w:val="21"/>
                    </w:rPr>
                    <w:t>耳带线</w:t>
                  </w:r>
                </w:p>
              </w:tc>
              <w:tc>
                <w:tcPr>
                  <w:tcW w:w="1072" w:type="pct"/>
                  <w:vAlign w:val="center"/>
                </w:tcPr>
                <w:p>
                  <w:pPr>
                    <w:jc w:val="center"/>
                    <w:rPr>
                      <w:szCs w:val="21"/>
                    </w:rPr>
                  </w:pPr>
                  <w:r>
                    <w:rPr>
                      <w:rFonts w:hint="eastAsia"/>
                      <w:color w:val="000000"/>
                      <w:szCs w:val="21"/>
                      <w:lang w:val="pt-BR"/>
                    </w:rPr>
                    <w:t>1</w:t>
                  </w:r>
                  <w:r>
                    <w:rPr>
                      <w:color w:val="000000"/>
                      <w:szCs w:val="21"/>
                      <w:lang w:val="pt-BR"/>
                    </w:rPr>
                    <w:t>00kg/</w:t>
                  </w:r>
                  <w:r>
                    <w:rPr>
                      <w:rFonts w:hint="eastAsia"/>
                      <w:color w:val="000000"/>
                      <w:szCs w:val="21"/>
                      <w:lang w:val="pt-BR"/>
                    </w:rPr>
                    <w:t>袋，</w:t>
                  </w:r>
                  <w:r>
                    <w:rPr>
                      <w:rFonts w:hint="eastAsia"/>
                      <w:szCs w:val="21"/>
                    </w:rPr>
                    <w:t>宽幅</w:t>
                  </w:r>
                  <w:r>
                    <w:rPr>
                      <w:szCs w:val="21"/>
                    </w:rPr>
                    <w:t>0.35cm</w:t>
                  </w:r>
                </w:p>
              </w:tc>
              <w:tc>
                <w:tcPr>
                  <w:tcW w:w="801" w:type="pct"/>
                  <w:tcBorders>
                    <w:right w:val="single" w:color="auto" w:sz="4" w:space="0"/>
                  </w:tcBorders>
                  <w:vAlign w:val="center"/>
                </w:tcPr>
                <w:p>
                  <w:pPr>
                    <w:jc w:val="center"/>
                    <w:rPr>
                      <w:szCs w:val="21"/>
                    </w:rPr>
                  </w:pPr>
                  <w:r>
                    <w:rPr>
                      <w:rFonts w:hint="eastAsia"/>
                      <w:szCs w:val="21"/>
                    </w:rPr>
                    <w:t>0</w:t>
                  </w:r>
                </w:p>
              </w:tc>
              <w:tc>
                <w:tcPr>
                  <w:tcW w:w="714" w:type="pct"/>
                  <w:tcBorders>
                    <w:left w:val="single" w:color="auto" w:sz="4" w:space="0"/>
                  </w:tcBorders>
                  <w:shd w:val="clear" w:color="auto" w:fill="auto"/>
                  <w:vAlign w:val="center"/>
                </w:tcPr>
                <w:p>
                  <w:pPr>
                    <w:jc w:val="center"/>
                    <w:rPr>
                      <w:szCs w:val="21"/>
                    </w:rPr>
                  </w:pPr>
                  <w:r>
                    <w:rPr>
                      <w:szCs w:val="21"/>
                    </w:rPr>
                    <w:t>0.8t/a</w:t>
                  </w:r>
                </w:p>
              </w:tc>
              <w:tc>
                <w:tcPr>
                  <w:tcW w:w="624" w:type="pct"/>
                  <w:tcBorders>
                    <w:left w:val="single" w:color="auto" w:sz="4" w:space="0"/>
                    <w:right w:val="single" w:color="auto" w:sz="4" w:space="0"/>
                  </w:tcBorders>
                  <w:vAlign w:val="center"/>
                </w:tcPr>
                <w:p>
                  <w:pPr>
                    <w:jc w:val="center"/>
                    <w:rPr>
                      <w:color w:val="000000"/>
                      <w:szCs w:val="21"/>
                      <w:lang w:val="pt-BR"/>
                    </w:rPr>
                  </w:pPr>
                  <w:r>
                    <w:rPr>
                      <w:szCs w:val="21"/>
                    </w:rPr>
                    <w:t>+0.8t/a</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p>
              </w:tc>
              <w:tc>
                <w:tcPr>
                  <w:tcW w:w="936" w:type="pct"/>
                  <w:vAlign w:val="center"/>
                </w:tcPr>
                <w:p>
                  <w:pPr>
                    <w:jc w:val="center"/>
                    <w:rPr>
                      <w:szCs w:val="21"/>
                    </w:rPr>
                  </w:pPr>
                  <w:r>
                    <w:rPr>
                      <w:rFonts w:hint="eastAsia"/>
                      <w:szCs w:val="21"/>
                    </w:rPr>
                    <w:t>鼻梁条</w:t>
                  </w:r>
                </w:p>
              </w:tc>
              <w:tc>
                <w:tcPr>
                  <w:tcW w:w="1072" w:type="pct"/>
                  <w:vAlign w:val="center"/>
                </w:tcPr>
                <w:p>
                  <w:pPr>
                    <w:jc w:val="center"/>
                    <w:rPr>
                      <w:szCs w:val="21"/>
                    </w:rPr>
                  </w:pPr>
                  <w:r>
                    <w:rPr>
                      <w:rFonts w:hint="eastAsia"/>
                      <w:color w:val="000000"/>
                      <w:szCs w:val="21"/>
                      <w:lang w:val="pt-BR"/>
                    </w:rPr>
                    <w:t>1</w:t>
                  </w:r>
                  <w:r>
                    <w:rPr>
                      <w:color w:val="000000"/>
                      <w:szCs w:val="21"/>
                      <w:lang w:val="pt-BR"/>
                    </w:rPr>
                    <w:t>00kg/</w:t>
                  </w:r>
                  <w:r>
                    <w:rPr>
                      <w:rFonts w:hint="eastAsia"/>
                      <w:color w:val="000000"/>
                      <w:szCs w:val="21"/>
                      <w:lang w:val="pt-BR"/>
                    </w:rPr>
                    <w:t>袋，</w:t>
                  </w:r>
                  <w:r>
                    <w:rPr>
                      <w:rFonts w:hint="eastAsia"/>
                      <w:szCs w:val="21"/>
                    </w:rPr>
                    <w:t>宽幅</w:t>
                  </w:r>
                  <w:r>
                    <w:rPr>
                      <w:szCs w:val="21"/>
                    </w:rPr>
                    <w:t>0.3cm</w:t>
                  </w:r>
                </w:p>
              </w:tc>
              <w:tc>
                <w:tcPr>
                  <w:tcW w:w="801" w:type="pct"/>
                  <w:tcBorders>
                    <w:right w:val="single" w:color="auto" w:sz="4" w:space="0"/>
                  </w:tcBorders>
                  <w:vAlign w:val="center"/>
                </w:tcPr>
                <w:p>
                  <w:pPr>
                    <w:jc w:val="center"/>
                    <w:rPr>
                      <w:szCs w:val="21"/>
                    </w:rPr>
                  </w:pPr>
                  <w:r>
                    <w:rPr>
                      <w:rFonts w:hint="eastAsia"/>
                      <w:szCs w:val="21"/>
                    </w:rPr>
                    <w:t>0</w:t>
                  </w:r>
                </w:p>
              </w:tc>
              <w:tc>
                <w:tcPr>
                  <w:tcW w:w="714" w:type="pct"/>
                  <w:tcBorders>
                    <w:left w:val="single" w:color="auto" w:sz="4" w:space="0"/>
                  </w:tcBorders>
                  <w:shd w:val="clear" w:color="auto" w:fill="auto"/>
                  <w:vAlign w:val="center"/>
                </w:tcPr>
                <w:p>
                  <w:pPr>
                    <w:jc w:val="center"/>
                    <w:rPr>
                      <w:szCs w:val="21"/>
                    </w:rPr>
                  </w:pPr>
                  <w:r>
                    <w:rPr>
                      <w:rFonts w:hint="eastAsia"/>
                      <w:szCs w:val="21"/>
                    </w:rPr>
                    <w:t>1</w:t>
                  </w:r>
                  <w:r>
                    <w:rPr>
                      <w:szCs w:val="21"/>
                    </w:rPr>
                    <w:t>t/a</w:t>
                  </w:r>
                </w:p>
              </w:tc>
              <w:tc>
                <w:tcPr>
                  <w:tcW w:w="624" w:type="pct"/>
                  <w:tcBorders>
                    <w:left w:val="single" w:color="auto" w:sz="4" w:space="0"/>
                    <w:right w:val="single" w:color="auto" w:sz="4" w:space="0"/>
                  </w:tcBorders>
                  <w:vAlign w:val="center"/>
                </w:tcPr>
                <w:p>
                  <w:pPr>
                    <w:jc w:val="center"/>
                    <w:rPr>
                      <w:color w:val="000000"/>
                      <w:szCs w:val="21"/>
                      <w:lang w:val="pt-BR"/>
                    </w:rPr>
                  </w:pPr>
                  <w:r>
                    <w:rPr>
                      <w:szCs w:val="21"/>
                    </w:rPr>
                    <w:t>+</w:t>
                  </w:r>
                  <w:r>
                    <w:rPr>
                      <w:rFonts w:hint="eastAsia"/>
                      <w:szCs w:val="21"/>
                    </w:rPr>
                    <w:t>1</w:t>
                  </w:r>
                  <w:r>
                    <w:rPr>
                      <w:szCs w:val="21"/>
                    </w:rPr>
                    <w:t>t/a</w:t>
                  </w:r>
                </w:p>
              </w:tc>
              <w:tc>
                <w:tcPr>
                  <w:tcW w:w="633" w:type="pct"/>
                  <w:tcBorders>
                    <w:left w:val="single" w:color="auto" w:sz="4" w:space="0"/>
                  </w:tcBorders>
                  <w:shd w:val="clear" w:color="auto" w:fill="auto"/>
                  <w:vAlign w:val="center"/>
                </w:tcPr>
                <w:p>
                  <w:pPr>
                    <w:jc w:val="center"/>
                    <w:rPr>
                      <w:szCs w:val="21"/>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p>
              </w:tc>
              <w:tc>
                <w:tcPr>
                  <w:tcW w:w="936" w:type="pct"/>
                  <w:vAlign w:val="center"/>
                </w:tcPr>
                <w:p>
                  <w:pPr>
                    <w:jc w:val="center"/>
                    <w:rPr>
                      <w:szCs w:val="21"/>
                    </w:rPr>
                  </w:pPr>
                  <w:r>
                    <w:rPr>
                      <w:rFonts w:hint="eastAsia"/>
                      <w:szCs w:val="21"/>
                    </w:rPr>
                    <w:t>环氧乙烷</w:t>
                  </w:r>
                </w:p>
              </w:tc>
              <w:tc>
                <w:tcPr>
                  <w:tcW w:w="1072" w:type="pct"/>
                  <w:vAlign w:val="center"/>
                </w:tcPr>
                <w:p>
                  <w:pPr>
                    <w:jc w:val="center"/>
                    <w:rPr>
                      <w:szCs w:val="21"/>
                    </w:rPr>
                  </w:pPr>
                  <w:r>
                    <w:rPr>
                      <w:color w:val="000000"/>
                      <w:szCs w:val="21"/>
                      <w:lang w:val="pt-BR"/>
                    </w:rPr>
                    <w:t>8kg/</w:t>
                  </w:r>
                  <w:r>
                    <w:rPr>
                      <w:rFonts w:hint="eastAsia"/>
                      <w:color w:val="000000"/>
                      <w:szCs w:val="21"/>
                      <w:lang w:val="pt-BR"/>
                    </w:rPr>
                    <w:t>罐</w:t>
                  </w:r>
                </w:p>
              </w:tc>
              <w:tc>
                <w:tcPr>
                  <w:tcW w:w="801" w:type="pct"/>
                  <w:tcBorders>
                    <w:right w:val="single" w:color="auto" w:sz="4" w:space="0"/>
                  </w:tcBorders>
                  <w:shd w:val="clear" w:color="auto" w:fill="auto"/>
                  <w:vAlign w:val="center"/>
                </w:tcPr>
                <w:p>
                  <w:pPr>
                    <w:jc w:val="center"/>
                    <w:rPr>
                      <w:szCs w:val="21"/>
                    </w:rPr>
                  </w:pPr>
                  <w:r>
                    <w:rPr>
                      <w:rFonts w:hint="eastAsia"/>
                      <w:szCs w:val="21"/>
                    </w:rPr>
                    <w:t>0</w:t>
                  </w:r>
                </w:p>
              </w:tc>
              <w:tc>
                <w:tcPr>
                  <w:tcW w:w="714" w:type="pct"/>
                  <w:tcBorders>
                    <w:left w:val="single" w:color="auto" w:sz="4" w:space="0"/>
                  </w:tcBorders>
                  <w:shd w:val="clear" w:color="auto" w:fill="auto"/>
                  <w:vAlign w:val="center"/>
                </w:tcPr>
                <w:p>
                  <w:pPr>
                    <w:jc w:val="center"/>
                    <w:rPr>
                      <w:szCs w:val="21"/>
                    </w:rPr>
                  </w:pPr>
                  <w:r>
                    <w:rPr>
                      <w:rFonts w:hint="eastAsia"/>
                      <w:szCs w:val="21"/>
                    </w:rPr>
                    <w:t>0</w:t>
                  </w:r>
                  <w:r>
                    <w:rPr>
                      <w:szCs w:val="21"/>
                    </w:rPr>
                    <w:t>.9t/a</w:t>
                  </w:r>
                </w:p>
              </w:tc>
              <w:tc>
                <w:tcPr>
                  <w:tcW w:w="624" w:type="pct"/>
                  <w:tcBorders>
                    <w:left w:val="single" w:color="auto" w:sz="4" w:space="0"/>
                    <w:right w:val="single" w:color="auto" w:sz="4" w:space="0"/>
                  </w:tcBorders>
                  <w:vAlign w:val="center"/>
                </w:tcPr>
                <w:p>
                  <w:pPr>
                    <w:jc w:val="center"/>
                    <w:rPr>
                      <w:color w:val="000000"/>
                      <w:szCs w:val="21"/>
                      <w:lang w:val="pt-BR"/>
                    </w:rPr>
                  </w:pPr>
                  <w:r>
                    <w:rPr>
                      <w:szCs w:val="21"/>
                    </w:rPr>
                    <w:t>+</w:t>
                  </w:r>
                  <w:r>
                    <w:rPr>
                      <w:rFonts w:hint="eastAsia"/>
                      <w:szCs w:val="21"/>
                    </w:rPr>
                    <w:t>0</w:t>
                  </w:r>
                  <w:r>
                    <w:rPr>
                      <w:szCs w:val="21"/>
                    </w:rPr>
                    <w:t>.9t/a</w:t>
                  </w:r>
                </w:p>
              </w:tc>
              <w:tc>
                <w:tcPr>
                  <w:tcW w:w="633" w:type="pct"/>
                  <w:tcBorders>
                    <w:left w:val="single" w:color="auto" w:sz="4" w:space="0"/>
                  </w:tcBorders>
                  <w:shd w:val="clear" w:color="auto" w:fill="auto"/>
                  <w:vAlign w:val="center"/>
                </w:tcPr>
                <w:p>
                  <w:pPr>
                    <w:jc w:val="center"/>
                    <w:rPr>
                      <w:szCs w:val="21"/>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szCs w:val="21"/>
                    </w:rPr>
                    <w:t>凝胶贴剂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6</w:t>
                  </w:r>
                </w:p>
              </w:tc>
              <w:tc>
                <w:tcPr>
                  <w:tcW w:w="936" w:type="pct"/>
                  <w:vAlign w:val="center"/>
                </w:tcPr>
                <w:p>
                  <w:pPr>
                    <w:jc w:val="center"/>
                    <w:rPr>
                      <w:szCs w:val="21"/>
                    </w:rPr>
                  </w:pPr>
                  <w:r>
                    <w:rPr>
                      <w:rFonts w:hint="eastAsia"/>
                      <w:bCs/>
                      <w:iCs/>
                      <w:szCs w:val="21"/>
                    </w:rPr>
                    <w:t>甘油</w:t>
                  </w:r>
                </w:p>
              </w:tc>
              <w:tc>
                <w:tcPr>
                  <w:tcW w:w="1072" w:type="pct"/>
                  <w:vAlign w:val="center"/>
                </w:tcPr>
                <w:p>
                  <w:pPr>
                    <w:jc w:val="center"/>
                    <w:rPr>
                      <w:szCs w:val="21"/>
                    </w:rPr>
                  </w:pPr>
                  <w:r>
                    <w:rPr>
                      <w:bCs/>
                      <w:iCs/>
                      <w:szCs w:val="21"/>
                    </w:rPr>
                    <w:t>250</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30</w:t>
                  </w:r>
                  <w:r>
                    <w:rPr>
                      <w:bCs/>
                      <w:iCs/>
                      <w:szCs w:val="21"/>
                    </w:rPr>
                    <w:t>000kg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30</w:t>
                  </w:r>
                  <w:r>
                    <w:rPr>
                      <w:bCs/>
                      <w:iCs/>
                      <w:szCs w:val="21"/>
                    </w:rPr>
                    <w:t>000kg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kern w:val="0"/>
                      <w:szCs w:val="21"/>
                    </w:rPr>
                    <w:t>7</w:t>
                  </w:r>
                </w:p>
              </w:tc>
              <w:tc>
                <w:tcPr>
                  <w:tcW w:w="936" w:type="pct"/>
                  <w:vAlign w:val="center"/>
                </w:tcPr>
                <w:p>
                  <w:pPr>
                    <w:jc w:val="center"/>
                    <w:rPr>
                      <w:szCs w:val="21"/>
                    </w:rPr>
                  </w:pPr>
                  <w:r>
                    <w:rPr>
                      <w:bCs/>
                      <w:iCs/>
                      <w:szCs w:val="21"/>
                    </w:rPr>
                    <w:t>NS8800</w:t>
                  </w:r>
                  <w:r>
                    <w:rPr>
                      <w:rFonts w:hint="eastAsia"/>
                      <w:bCs/>
                      <w:iCs/>
                      <w:szCs w:val="21"/>
                    </w:rPr>
                    <w:t>水凝胶树脂</w:t>
                  </w:r>
                  <w:r>
                    <w:rPr>
                      <w:rFonts w:hint="eastAsia"/>
                      <w:szCs w:val="21"/>
                    </w:rPr>
                    <w:t>粉</w:t>
                  </w:r>
                </w:p>
              </w:tc>
              <w:tc>
                <w:tcPr>
                  <w:tcW w:w="1072" w:type="pct"/>
                  <w:vAlign w:val="center"/>
                </w:tcPr>
                <w:p>
                  <w:pPr>
                    <w:jc w:val="center"/>
                    <w:rPr>
                      <w:szCs w:val="21"/>
                    </w:rPr>
                  </w:pPr>
                  <w:r>
                    <w:rPr>
                      <w:bCs/>
                      <w:iCs/>
                      <w:szCs w:val="21"/>
                    </w:rPr>
                    <w:t>24</w:t>
                  </w:r>
                  <w:r>
                    <w:rPr>
                      <w:szCs w:val="21"/>
                    </w:rPr>
                    <w:t>kg/</w:t>
                  </w:r>
                  <w:r>
                    <w:rPr>
                      <w:rFonts w:hint="eastAsia"/>
                      <w:szCs w:val="21"/>
                    </w:rPr>
                    <w:t>箱</w:t>
                  </w:r>
                </w:p>
              </w:tc>
              <w:tc>
                <w:tcPr>
                  <w:tcW w:w="801" w:type="pct"/>
                  <w:tcBorders>
                    <w:right w:val="single" w:color="auto" w:sz="4" w:space="0"/>
                  </w:tcBorders>
                  <w:shd w:val="clear" w:color="auto" w:fill="auto"/>
                  <w:vAlign w:val="center"/>
                </w:tcPr>
                <w:p>
                  <w:pPr>
                    <w:jc w:val="center"/>
                    <w:rPr>
                      <w:szCs w:val="21"/>
                    </w:rPr>
                  </w:pPr>
                  <w:r>
                    <w:rPr>
                      <w:rFonts w:hint="eastAsia"/>
                      <w:bCs/>
                      <w:iCs/>
                      <w:szCs w:val="21"/>
                    </w:rPr>
                    <w:t>24</w:t>
                  </w:r>
                  <w:r>
                    <w:rPr>
                      <w:bCs/>
                      <w:iCs/>
                      <w:szCs w:val="21"/>
                    </w:rPr>
                    <w:t>000kg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24</w:t>
                  </w:r>
                  <w:r>
                    <w:rPr>
                      <w:bCs/>
                      <w:iCs/>
                      <w:szCs w:val="21"/>
                    </w:rPr>
                    <w:t>000kg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8</w:t>
                  </w:r>
                </w:p>
              </w:tc>
              <w:tc>
                <w:tcPr>
                  <w:tcW w:w="936" w:type="pct"/>
                  <w:vAlign w:val="center"/>
                </w:tcPr>
                <w:p>
                  <w:pPr>
                    <w:jc w:val="center"/>
                    <w:rPr>
                      <w:szCs w:val="21"/>
                    </w:rPr>
                  </w:pPr>
                  <w:r>
                    <w:rPr>
                      <w:bCs/>
                      <w:iCs/>
                      <w:szCs w:val="21"/>
                    </w:rPr>
                    <w:t>PVP-K90</w:t>
                  </w:r>
                  <w:r>
                    <w:rPr>
                      <w:rFonts w:hint="eastAsia"/>
                      <w:bCs/>
                      <w:iCs/>
                      <w:szCs w:val="21"/>
                    </w:rPr>
                    <w:t>（聚乙烯吡咯烷酮）</w:t>
                  </w:r>
                </w:p>
              </w:tc>
              <w:tc>
                <w:tcPr>
                  <w:tcW w:w="1072" w:type="pct"/>
                  <w:vAlign w:val="center"/>
                </w:tcPr>
                <w:p>
                  <w:pPr>
                    <w:jc w:val="center"/>
                    <w:rPr>
                      <w:szCs w:val="21"/>
                    </w:rPr>
                  </w:pPr>
                  <w:r>
                    <w:rPr>
                      <w:bCs/>
                      <w:iCs/>
                      <w:szCs w:val="21"/>
                    </w:rPr>
                    <w:t>25</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bCs/>
                      <w:iCs/>
                      <w:szCs w:val="21"/>
                    </w:rPr>
                    <w:t>1</w:t>
                  </w:r>
                  <w:r>
                    <w:rPr>
                      <w:rFonts w:hint="eastAsia"/>
                      <w:bCs/>
                      <w:iCs/>
                      <w:szCs w:val="21"/>
                    </w:rPr>
                    <w:t>2</w:t>
                  </w:r>
                  <w:r>
                    <w:rPr>
                      <w:bCs/>
                      <w:iCs/>
                      <w:szCs w:val="21"/>
                    </w:rPr>
                    <w:t>000kg</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1</w:t>
                  </w:r>
                  <w:r>
                    <w:rPr>
                      <w:rFonts w:hint="eastAsia"/>
                      <w:bCs/>
                      <w:iCs/>
                      <w:szCs w:val="21"/>
                    </w:rPr>
                    <w:t>2</w:t>
                  </w:r>
                  <w:r>
                    <w:rPr>
                      <w:bCs/>
                      <w:iCs/>
                      <w:szCs w:val="21"/>
                    </w:rPr>
                    <w:t>000kg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9</w:t>
                  </w:r>
                </w:p>
              </w:tc>
              <w:tc>
                <w:tcPr>
                  <w:tcW w:w="936" w:type="pct"/>
                  <w:vAlign w:val="center"/>
                </w:tcPr>
                <w:p>
                  <w:pPr>
                    <w:jc w:val="center"/>
                    <w:rPr>
                      <w:szCs w:val="21"/>
                    </w:rPr>
                  </w:pPr>
                  <w:r>
                    <w:rPr>
                      <w:rFonts w:hint="eastAsia"/>
                      <w:bCs/>
                      <w:iCs/>
                      <w:szCs w:val="21"/>
                    </w:rPr>
                    <w:t>羧甲基纤维素钠</w:t>
                  </w:r>
                </w:p>
              </w:tc>
              <w:tc>
                <w:tcPr>
                  <w:tcW w:w="1072" w:type="pct"/>
                  <w:vAlign w:val="center"/>
                </w:tcPr>
                <w:p>
                  <w:pPr>
                    <w:jc w:val="center"/>
                    <w:rPr>
                      <w:szCs w:val="21"/>
                    </w:rPr>
                  </w:pPr>
                  <w:r>
                    <w:rPr>
                      <w:bCs/>
                      <w:iCs/>
                      <w:szCs w:val="21"/>
                    </w:rPr>
                    <w:t>25</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bCs/>
                      <w:iCs/>
                      <w:szCs w:val="21"/>
                    </w:rPr>
                    <w:t>1</w:t>
                  </w:r>
                  <w:r>
                    <w:rPr>
                      <w:rFonts w:hint="eastAsia"/>
                      <w:bCs/>
                      <w:iCs/>
                      <w:szCs w:val="21"/>
                    </w:rPr>
                    <w:t>2</w:t>
                  </w:r>
                  <w:r>
                    <w:rPr>
                      <w:bCs/>
                      <w:iCs/>
                      <w:szCs w:val="21"/>
                    </w:rPr>
                    <w:t>00kg</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1</w:t>
                  </w:r>
                  <w:r>
                    <w:rPr>
                      <w:rFonts w:hint="eastAsia"/>
                      <w:bCs/>
                      <w:iCs/>
                      <w:szCs w:val="21"/>
                    </w:rPr>
                    <w:t>2</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kern w:val="0"/>
                      <w:szCs w:val="21"/>
                    </w:rPr>
                    <w:t>10</w:t>
                  </w:r>
                </w:p>
              </w:tc>
              <w:tc>
                <w:tcPr>
                  <w:tcW w:w="936" w:type="pct"/>
                  <w:vAlign w:val="center"/>
                </w:tcPr>
                <w:p>
                  <w:pPr>
                    <w:jc w:val="center"/>
                    <w:rPr>
                      <w:szCs w:val="21"/>
                    </w:rPr>
                  </w:pPr>
                  <w:r>
                    <w:rPr>
                      <w:rFonts w:hint="eastAsia"/>
                      <w:bCs/>
                      <w:iCs/>
                      <w:szCs w:val="21"/>
                    </w:rPr>
                    <w:t>防腐剂（</w:t>
                  </w:r>
                  <w:r>
                    <w:rPr>
                      <w:bCs/>
                      <w:iCs/>
                      <w:szCs w:val="21"/>
                    </w:rPr>
                    <w:t>DMDHM</w:t>
                  </w:r>
                  <w:r>
                    <w:rPr>
                      <w:rFonts w:hint="eastAsia"/>
                      <w:bCs/>
                      <w:iCs/>
                      <w:szCs w:val="21"/>
                    </w:rPr>
                    <w:t>）</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84</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84</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1</w:t>
                  </w:r>
                </w:p>
              </w:tc>
              <w:tc>
                <w:tcPr>
                  <w:tcW w:w="936" w:type="pct"/>
                  <w:vAlign w:val="center"/>
                </w:tcPr>
                <w:p>
                  <w:pPr>
                    <w:jc w:val="center"/>
                    <w:rPr>
                      <w:szCs w:val="21"/>
                    </w:rPr>
                  </w:pPr>
                  <w:r>
                    <w:rPr>
                      <w:rFonts w:hint="eastAsia"/>
                      <w:bCs/>
                      <w:iCs/>
                      <w:szCs w:val="21"/>
                    </w:rPr>
                    <w:t>洒石酸</w:t>
                  </w:r>
                </w:p>
              </w:tc>
              <w:tc>
                <w:tcPr>
                  <w:tcW w:w="1072" w:type="pct"/>
                  <w:vAlign w:val="center"/>
                </w:tcPr>
                <w:p>
                  <w:pPr>
                    <w:jc w:val="center"/>
                    <w:rPr>
                      <w:szCs w:val="21"/>
                    </w:rPr>
                  </w:pPr>
                  <w:r>
                    <w:rPr>
                      <w:bCs/>
                      <w:iCs/>
                      <w:szCs w:val="21"/>
                    </w:rPr>
                    <w:t>25</w:t>
                  </w:r>
                  <w:r>
                    <w:rPr>
                      <w:szCs w:val="21"/>
                    </w:rPr>
                    <w:t xml:space="preserve"> 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1000</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1000</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2</w:t>
                  </w:r>
                </w:p>
              </w:tc>
              <w:tc>
                <w:tcPr>
                  <w:tcW w:w="936" w:type="pct"/>
                  <w:vAlign w:val="center"/>
                </w:tcPr>
                <w:p>
                  <w:pPr>
                    <w:jc w:val="center"/>
                    <w:rPr>
                      <w:szCs w:val="21"/>
                    </w:rPr>
                  </w:pPr>
                  <w:r>
                    <w:rPr>
                      <w:bCs/>
                      <w:iCs/>
                      <w:szCs w:val="21"/>
                    </w:rPr>
                    <w:t>97%</w:t>
                  </w:r>
                  <w:r>
                    <w:rPr>
                      <w:rFonts w:hint="eastAsia"/>
                      <w:bCs/>
                      <w:iCs/>
                      <w:szCs w:val="21"/>
                    </w:rPr>
                    <w:t>酒精</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5</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5</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3</w:t>
                  </w:r>
                </w:p>
              </w:tc>
              <w:tc>
                <w:tcPr>
                  <w:tcW w:w="936" w:type="pct"/>
                  <w:vAlign w:val="center"/>
                </w:tcPr>
                <w:p>
                  <w:pPr>
                    <w:jc w:val="center"/>
                    <w:rPr>
                      <w:szCs w:val="21"/>
                    </w:rPr>
                  </w:pPr>
                  <w:r>
                    <w:rPr>
                      <w:rFonts w:hint="eastAsia"/>
                      <w:bCs/>
                      <w:iCs/>
                      <w:szCs w:val="21"/>
                    </w:rPr>
                    <w:t>薄荷脑</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bCs/>
                      <w:iCs/>
                      <w:szCs w:val="21"/>
                    </w:rPr>
                    <w:t>2</w:t>
                  </w:r>
                  <w:r>
                    <w:rPr>
                      <w:rFonts w:hint="eastAsia"/>
                      <w:bCs/>
                      <w:iCs/>
                      <w:szCs w:val="21"/>
                    </w:rPr>
                    <w:t>4</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2</w:t>
                  </w:r>
                  <w:r>
                    <w:rPr>
                      <w:rFonts w:hint="eastAsia"/>
                      <w:bCs/>
                      <w:iCs/>
                      <w:szCs w:val="21"/>
                    </w:rPr>
                    <w:t>4</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4</w:t>
                  </w:r>
                </w:p>
              </w:tc>
              <w:tc>
                <w:tcPr>
                  <w:tcW w:w="936" w:type="pct"/>
                  <w:vAlign w:val="center"/>
                </w:tcPr>
                <w:p>
                  <w:pPr>
                    <w:jc w:val="center"/>
                    <w:rPr>
                      <w:szCs w:val="21"/>
                    </w:rPr>
                  </w:pPr>
                  <w:r>
                    <w:rPr>
                      <w:bCs/>
                      <w:iCs/>
                      <w:szCs w:val="21"/>
                    </w:rPr>
                    <w:t>乙二胺四乙酸二钠</w:t>
                  </w:r>
                  <w:r>
                    <w:rPr>
                      <w:rFonts w:hint="eastAsia"/>
                      <w:bCs/>
                      <w:iCs/>
                      <w:szCs w:val="21"/>
                    </w:rPr>
                    <w:t>（</w:t>
                  </w:r>
                  <w:r>
                    <w:rPr>
                      <w:bCs/>
                      <w:iCs/>
                      <w:szCs w:val="21"/>
                    </w:rPr>
                    <w:t>EDTA-2Na</w:t>
                  </w:r>
                  <w:r>
                    <w:rPr>
                      <w:rFonts w:hint="eastAsia"/>
                      <w:bCs/>
                      <w:iCs/>
                      <w:szCs w:val="21"/>
                    </w:rPr>
                    <w:t>）</w:t>
                  </w:r>
                </w:p>
              </w:tc>
              <w:tc>
                <w:tcPr>
                  <w:tcW w:w="1072" w:type="pct"/>
                  <w:vAlign w:val="center"/>
                </w:tcPr>
                <w:p>
                  <w:pPr>
                    <w:jc w:val="center"/>
                    <w:rPr>
                      <w:szCs w:val="21"/>
                    </w:rPr>
                  </w:pPr>
                  <w:r>
                    <w:rPr>
                      <w:bCs/>
                      <w:iCs/>
                      <w:szCs w:val="21"/>
                    </w:rPr>
                    <w:t>25</w:t>
                  </w:r>
                  <w:r>
                    <w:rPr>
                      <w:szCs w:val="21"/>
                    </w:rPr>
                    <w:t xml:space="preserve"> 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bCs/>
                      <w:iCs/>
                      <w:szCs w:val="21"/>
                    </w:rPr>
                    <w:t>2</w:t>
                  </w:r>
                  <w:r>
                    <w:rPr>
                      <w:rFonts w:hint="eastAsia"/>
                      <w:bCs/>
                      <w:iCs/>
                      <w:szCs w:val="21"/>
                    </w:rPr>
                    <w:t>4</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2</w:t>
                  </w:r>
                  <w:r>
                    <w:rPr>
                      <w:rFonts w:hint="eastAsia"/>
                      <w:bCs/>
                      <w:iCs/>
                      <w:szCs w:val="21"/>
                    </w:rPr>
                    <w:t>4</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5</w:t>
                  </w:r>
                </w:p>
              </w:tc>
              <w:tc>
                <w:tcPr>
                  <w:tcW w:w="936" w:type="pct"/>
                  <w:vAlign w:val="center"/>
                </w:tcPr>
                <w:p>
                  <w:pPr>
                    <w:jc w:val="center"/>
                    <w:rPr>
                      <w:szCs w:val="21"/>
                    </w:rPr>
                  </w:pPr>
                  <w:r>
                    <w:rPr>
                      <w:rFonts w:hint="eastAsia"/>
                      <w:bCs/>
                      <w:iCs/>
                      <w:szCs w:val="21"/>
                    </w:rPr>
                    <w:t>纯化水</w:t>
                  </w:r>
                </w:p>
              </w:tc>
              <w:tc>
                <w:tcPr>
                  <w:tcW w:w="1072" w:type="pct"/>
                  <w:vAlign w:val="center"/>
                </w:tcPr>
                <w:p>
                  <w:pPr>
                    <w:jc w:val="center"/>
                    <w:rPr>
                      <w:szCs w:val="21"/>
                    </w:rPr>
                  </w:pPr>
                  <w:r>
                    <w:rPr>
                      <w:bCs/>
                      <w:iCs/>
                      <w:szCs w:val="21"/>
                    </w:rPr>
                    <w:t>/</w:t>
                  </w:r>
                </w:p>
              </w:tc>
              <w:tc>
                <w:tcPr>
                  <w:tcW w:w="801" w:type="pct"/>
                  <w:tcBorders>
                    <w:right w:val="single" w:color="auto" w:sz="4" w:space="0"/>
                  </w:tcBorders>
                  <w:shd w:val="clear" w:color="auto" w:fill="auto"/>
                  <w:vAlign w:val="center"/>
                </w:tcPr>
                <w:p>
                  <w:pPr>
                    <w:jc w:val="center"/>
                    <w:rPr>
                      <w:szCs w:val="21"/>
                    </w:rPr>
                  </w:pPr>
                  <w:r>
                    <w:rPr>
                      <w:rFonts w:hint="eastAsia"/>
                      <w:bCs/>
                      <w:iCs/>
                      <w:szCs w:val="21"/>
                    </w:rPr>
                    <w:t>72</w:t>
                  </w:r>
                  <w:r>
                    <w:rPr>
                      <w:bCs/>
                      <w:iCs/>
                      <w:szCs w:val="21"/>
                    </w:rPr>
                    <w:t>m</w:t>
                  </w:r>
                  <w:r>
                    <w:rPr>
                      <w:bCs/>
                      <w:iCs/>
                      <w:szCs w:val="21"/>
                      <w:vertAlign w:val="superscript"/>
                    </w:rPr>
                    <w:t>3</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72</w:t>
                  </w:r>
                  <w:r>
                    <w:rPr>
                      <w:bCs/>
                      <w:iCs/>
                      <w:szCs w:val="21"/>
                    </w:rPr>
                    <w:t>m</w:t>
                  </w:r>
                  <w:r>
                    <w:rPr>
                      <w:bCs/>
                      <w:iCs/>
                      <w:szCs w:val="21"/>
                      <w:vertAlign w:val="superscript"/>
                    </w:rPr>
                    <w:t>3</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自制</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6</w:t>
                  </w:r>
                </w:p>
              </w:tc>
              <w:tc>
                <w:tcPr>
                  <w:tcW w:w="936" w:type="pct"/>
                  <w:vAlign w:val="center"/>
                </w:tcPr>
                <w:p>
                  <w:pPr>
                    <w:jc w:val="center"/>
                    <w:rPr>
                      <w:szCs w:val="21"/>
                    </w:rPr>
                  </w:pPr>
                  <w:r>
                    <w:rPr>
                      <w:rFonts w:hint="eastAsia"/>
                      <w:bCs/>
                      <w:iCs/>
                      <w:szCs w:val="21"/>
                    </w:rPr>
                    <w:t>医用无纺布</w:t>
                  </w:r>
                </w:p>
              </w:tc>
              <w:tc>
                <w:tcPr>
                  <w:tcW w:w="1072" w:type="pct"/>
                  <w:vAlign w:val="center"/>
                </w:tcPr>
                <w:p>
                  <w:pPr>
                    <w:jc w:val="center"/>
                    <w:rPr>
                      <w:szCs w:val="21"/>
                    </w:rPr>
                  </w:pPr>
                  <w:r>
                    <w:rPr>
                      <w:rFonts w:hint="eastAsia"/>
                      <w:bCs/>
                      <w:iCs/>
                      <w:szCs w:val="21"/>
                    </w:rPr>
                    <w:t>卷装，</w:t>
                  </w:r>
                  <w:r>
                    <w:rPr>
                      <w:bCs/>
                      <w:iCs/>
                      <w:szCs w:val="21"/>
                    </w:rPr>
                    <w:t>52cm</w:t>
                  </w:r>
                  <w:r>
                    <w:rPr>
                      <w:rFonts w:hint="eastAsia"/>
                      <w:bCs/>
                      <w:iCs/>
                      <w:szCs w:val="21"/>
                    </w:rPr>
                    <w:t>宽</w:t>
                  </w:r>
                </w:p>
              </w:tc>
              <w:tc>
                <w:tcPr>
                  <w:tcW w:w="801" w:type="pct"/>
                  <w:tcBorders>
                    <w:right w:val="single" w:color="auto" w:sz="4" w:space="0"/>
                  </w:tcBorders>
                  <w:shd w:val="clear" w:color="auto" w:fill="auto"/>
                  <w:vAlign w:val="center"/>
                </w:tcPr>
                <w:p>
                  <w:pPr>
                    <w:jc w:val="center"/>
                    <w:rPr>
                      <w:szCs w:val="21"/>
                    </w:rPr>
                  </w:pPr>
                  <w:r>
                    <w:rPr>
                      <w:rFonts w:hint="eastAsia"/>
                      <w:bCs/>
                      <w:iCs/>
                      <w:szCs w:val="21"/>
                    </w:rPr>
                    <w:t>73</w:t>
                  </w:r>
                  <w:r>
                    <w:rPr>
                      <w:bCs/>
                      <w:iCs/>
                      <w:szCs w:val="21"/>
                    </w:rPr>
                    <w:t>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73</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7</w:t>
                  </w:r>
                </w:p>
              </w:tc>
              <w:tc>
                <w:tcPr>
                  <w:tcW w:w="936" w:type="pct"/>
                  <w:vAlign w:val="center"/>
                </w:tcPr>
                <w:p>
                  <w:pPr>
                    <w:jc w:val="center"/>
                    <w:rPr>
                      <w:szCs w:val="21"/>
                    </w:rPr>
                  </w:pPr>
                  <w:r>
                    <w:rPr>
                      <w:rFonts w:hint="eastAsia"/>
                      <w:bCs/>
                      <w:iCs/>
                      <w:szCs w:val="21"/>
                    </w:rPr>
                    <w:t>压花膜</w:t>
                  </w:r>
                </w:p>
              </w:tc>
              <w:tc>
                <w:tcPr>
                  <w:tcW w:w="1072" w:type="pct"/>
                  <w:vAlign w:val="center"/>
                </w:tcPr>
                <w:p>
                  <w:pPr>
                    <w:jc w:val="center"/>
                    <w:rPr>
                      <w:szCs w:val="21"/>
                    </w:rPr>
                  </w:pPr>
                  <w:r>
                    <w:rPr>
                      <w:rFonts w:hint="eastAsia"/>
                      <w:bCs/>
                      <w:iCs/>
                      <w:szCs w:val="21"/>
                    </w:rPr>
                    <w:t>卷装，</w:t>
                  </w:r>
                  <w:r>
                    <w:rPr>
                      <w:bCs/>
                      <w:iCs/>
                      <w:szCs w:val="21"/>
                    </w:rPr>
                    <w:t>52cm</w:t>
                  </w:r>
                  <w:r>
                    <w:rPr>
                      <w:rFonts w:hint="eastAsia"/>
                      <w:bCs/>
                      <w:iCs/>
                      <w:szCs w:val="21"/>
                    </w:rPr>
                    <w:t>宽</w:t>
                  </w:r>
                </w:p>
              </w:tc>
              <w:tc>
                <w:tcPr>
                  <w:tcW w:w="801" w:type="pct"/>
                  <w:tcBorders>
                    <w:right w:val="single" w:color="auto" w:sz="4" w:space="0"/>
                  </w:tcBorders>
                  <w:shd w:val="clear" w:color="auto" w:fill="auto"/>
                  <w:vAlign w:val="center"/>
                </w:tcPr>
                <w:p>
                  <w:pPr>
                    <w:jc w:val="center"/>
                    <w:rPr>
                      <w:szCs w:val="21"/>
                    </w:rPr>
                  </w:pPr>
                  <w:r>
                    <w:rPr>
                      <w:rFonts w:hint="eastAsia"/>
                      <w:bCs/>
                      <w:iCs/>
                      <w:szCs w:val="21"/>
                    </w:rPr>
                    <w:t>73</w:t>
                  </w:r>
                  <w:r>
                    <w:rPr>
                      <w:bCs/>
                      <w:iCs/>
                      <w:szCs w:val="21"/>
                    </w:rPr>
                    <w:t>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73</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8</w:t>
                  </w:r>
                </w:p>
              </w:tc>
              <w:tc>
                <w:tcPr>
                  <w:tcW w:w="936" w:type="pct"/>
                  <w:vAlign w:val="center"/>
                </w:tcPr>
                <w:p>
                  <w:pPr>
                    <w:jc w:val="center"/>
                    <w:rPr>
                      <w:szCs w:val="21"/>
                    </w:rPr>
                  </w:pPr>
                  <w:r>
                    <w:rPr>
                      <w:rFonts w:hint="eastAsia"/>
                      <w:bCs/>
                      <w:iCs/>
                      <w:szCs w:val="21"/>
                    </w:rPr>
                    <w:t>包装袋</w:t>
                  </w:r>
                </w:p>
              </w:tc>
              <w:tc>
                <w:tcPr>
                  <w:tcW w:w="1072" w:type="pct"/>
                  <w:vAlign w:val="center"/>
                </w:tcPr>
                <w:p>
                  <w:pPr>
                    <w:jc w:val="center"/>
                    <w:rPr>
                      <w:szCs w:val="21"/>
                    </w:rPr>
                  </w:pPr>
                  <w:r>
                    <w:rPr>
                      <w:bCs/>
                      <w:iCs/>
                      <w:szCs w:val="21"/>
                    </w:rPr>
                    <w:t>60mm×130mm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1080万个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1080万个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1</w:t>
                  </w:r>
                  <w:r>
                    <w:rPr>
                      <w:kern w:val="0"/>
                      <w:szCs w:val="21"/>
                    </w:rPr>
                    <w:t>9</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70mm×140mm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216万个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216万个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0</w:t>
                  </w:r>
                </w:p>
              </w:tc>
              <w:tc>
                <w:tcPr>
                  <w:tcW w:w="936" w:type="pct"/>
                  <w:vAlign w:val="center"/>
                </w:tcPr>
                <w:p>
                  <w:pPr>
                    <w:jc w:val="center"/>
                    <w:rPr>
                      <w:szCs w:val="21"/>
                    </w:rPr>
                  </w:pPr>
                  <w:r>
                    <w:rPr>
                      <w:rFonts w:hint="eastAsia"/>
                      <w:bCs/>
                      <w:iCs/>
                      <w:szCs w:val="21"/>
                    </w:rPr>
                    <w:t>泡罩盒</w:t>
                  </w:r>
                </w:p>
              </w:tc>
              <w:tc>
                <w:tcPr>
                  <w:tcW w:w="1072" w:type="pct"/>
                  <w:vAlign w:val="center"/>
                </w:tcPr>
                <w:p>
                  <w:pPr>
                    <w:jc w:val="center"/>
                    <w:rPr>
                      <w:szCs w:val="21"/>
                    </w:rPr>
                  </w:pPr>
                  <w:r>
                    <w:rPr>
                      <w:bCs/>
                      <w:iCs/>
                      <w:szCs w:val="21"/>
                    </w:rPr>
                    <w:t>60mm×130mm</w:t>
                  </w:r>
                </w:p>
              </w:tc>
              <w:tc>
                <w:tcPr>
                  <w:tcW w:w="801" w:type="pct"/>
                  <w:tcBorders>
                    <w:right w:val="single" w:color="auto" w:sz="4" w:space="0"/>
                  </w:tcBorders>
                  <w:shd w:val="clear" w:color="auto" w:fill="auto"/>
                  <w:vAlign w:val="center"/>
                </w:tcPr>
                <w:p>
                  <w:pPr>
                    <w:jc w:val="center"/>
                    <w:rPr>
                      <w:szCs w:val="21"/>
                    </w:rPr>
                  </w:pPr>
                  <w:r>
                    <w:rPr>
                      <w:bCs/>
                      <w:iCs/>
                      <w:szCs w:val="21"/>
                    </w:rPr>
                    <w:t>1</w:t>
                  </w:r>
                  <w:r>
                    <w:rPr>
                      <w:rFonts w:hint="eastAsia"/>
                      <w:bCs/>
                      <w:iCs/>
                      <w:szCs w:val="21"/>
                    </w:rPr>
                    <w:t>21万个</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1</w:t>
                  </w:r>
                  <w:r>
                    <w:rPr>
                      <w:rFonts w:hint="eastAsia"/>
                      <w:bCs/>
                      <w:iCs/>
                      <w:szCs w:val="21"/>
                    </w:rPr>
                    <w:t>21万个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1</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80mm×200mm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32万个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32万个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szCs w:val="21"/>
                    </w:rPr>
                    <w:t>医用压敏胶贴剂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2</w:t>
                  </w:r>
                </w:p>
              </w:tc>
              <w:tc>
                <w:tcPr>
                  <w:tcW w:w="936" w:type="pct"/>
                  <w:vAlign w:val="center"/>
                </w:tcPr>
                <w:p>
                  <w:pPr>
                    <w:jc w:val="center"/>
                    <w:rPr>
                      <w:szCs w:val="21"/>
                    </w:rPr>
                  </w:pPr>
                  <w:r>
                    <w:rPr>
                      <w:rFonts w:hint="eastAsia"/>
                      <w:szCs w:val="21"/>
                    </w:rPr>
                    <w:t>热熔胶</w:t>
                  </w:r>
                </w:p>
              </w:tc>
              <w:tc>
                <w:tcPr>
                  <w:tcW w:w="1072" w:type="pct"/>
                  <w:vAlign w:val="center"/>
                </w:tcPr>
                <w:p>
                  <w:pPr>
                    <w:jc w:val="center"/>
                    <w:rPr>
                      <w:szCs w:val="21"/>
                    </w:rPr>
                  </w:pPr>
                  <w:r>
                    <w:rPr>
                      <w:szCs w:val="21"/>
                    </w:rPr>
                    <w:t>25kg/</w:t>
                  </w:r>
                  <w:r>
                    <w:rPr>
                      <w:rFonts w:hint="eastAsia"/>
                      <w:szCs w:val="21"/>
                    </w:rPr>
                    <w:t>箱</w:t>
                  </w:r>
                </w:p>
              </w:tc>
              <w:tc>
                <w:tcPr>
                  <w:tcW w:w="801" w:type="pct"/>
                  <w:tcBorders>
                    <w:right w:val="single" w:color="auto" w:sz="4" w:space="0"/>
                  </w:tcBorders>
                  <w:shd w:val="clear" w:color="auto" w:fill="auto"/>
                  <w:vAlign w:val="center"/>
                </w:tcPr>
                <w:p>
                  <w:pPr>
                    <w:jc w:val="center"/>
                    <w:rPr>
                      <w:szCs w:val="21"/>
                    </w:rPr>
                  </w:pPr>
                  <w:r>
                    <w:rPr>
                      <w:rFonts w:hint="eastAsia"/>
                      <w:szCs w:val="21"/>
                    </w:rPr>
                    <w:t>300</w:t>
                  </w:r>
                  <w:r>
                    <w:rPr>
                      <w:szCs w:val="21"/>
                    </w:rPr>
                    <w:t>00kg/a</w:t>
                  </w:r>
                </w:p>
              </w:tc>
              <w:tc>
                <w:tcPr>
                  <w:tcW w:w="714" w:type="pct"/>
                  <w:tcBorders>
                    <w:left w:val="single" w:color="auto" w:sz="4" w:space="0"/>
                  </w:tcBorders>
                  <w:shd w:val="clear" w:color="auto" w:fill="auto"/>
                  <w:vAlign w:val="center"/>
                </w:tcPr>
                <w:p>
                  <w:pPr>
                    <w:jc w:val="center"/>
                    <w:rPr>
                      <w:szCs w:val="21"/>
                    </w:rPr>
                  </w:pPr>
                  <w:r>
                    <w:rPr>
                      <w:rFonts w:hint="eastAsia"/>
                      <w:szCs w:val="21"/>
                    </w:rPr>
                    <w:t>300</w:t>
                  </w:r>
                  <w:r>
                    <w:rPr>
                      <w:szCs w:val="21"/>
                    </w:rPr>
                    <w:t>00kg/a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3</w:t>
                  </w:r>
                </w:p>
              </w:tc>
              <w:tc>
                <w:tcPr>
                  <w:tcW w:w="936" w:type="pct"/>
                  <w:vAlign w:val="center"/>
                </w:tcPr>
                <w:p>
                  <w:pPr>
                    <w:jc w:val="center"/>
                    <w:rPr>
                      <w:szCs w:val="21"/>
                    </w:rPr>
                  </w:pPr>
                  <w:r>
                    <w:rPr>
                      <w:rFonts w:hint="eastAsia"/>
                      <w:szCs w:val="21"/>
                    </w:rPr>
                    <w:t>远红外陶瓷粉</w:t>
                  </w:r>
                </w:p>
              </w:tc>
              <w:tc>
                <w:tcPr>
                  <w:tcW w:w="1072" w:type="pct"/>
                  <w:vAlign w:val="center"/>
                </w:tcPr>
                <w:p>
                  <w:pPr>
                    <w:jc w:val="center"/>
                    <w:rPr>
                      <w:szCs w:val="21"/>
                    </w:rPr>
                  </w:pPr>
                  <w:r>
                    <w:rPr>
                      <w:szCs w:val="21"/>
                    </w:rPr>
                    <w:t>25kg/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rFonts w:hint="eastAsia"/>
                      <w:szCs w:val="21"/>
                    </w:rPr>
                    <w:t>64</w:t>
                  </w:r>
                  <w:r>
                    <w:rPr>
                      <w:szCs w:val="21"/>
                    </w:rPr>
                    <w:t>00kg/a</w:t>
                  </w:r>
                </w:p>
              </w:tc>
              <w:tc>
                <w:tcPr>
                  <w:tcW w:w="714" w:type="pct"/>
                  <w:tcBorders>
                    <w:left w:val="single" w:color="auto" w:sz="4" w:space="0"/>
                  </w:tcBorders>
                  <w:shd w:val="clear" w:color="auto" w:fill="auto"/>
                  <w:vAlign w:val="center"/>
                </w:tcPr>
                <w:p>
                  <w:pPr>
                    <w:jc w:val="center"/>
                    <w:rPr>
                      <w:szCs w:val="21"/>
                    </w:rPr>
                  </w:pPr>
                  <w:r>
                    <w:rPr>
                      <w:rFonts w:hint="eastAsia"/>
                      <w:szCs w:val="21"/>
                    </w:rPr>
                    <w:t>64</w:t>
                  </w:r>
                  <w:r>
                    <w:rPr>
                      <w:szCs w:val="21"/>
                    </w:rPr>
                    <w:t>00kg/a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4</w:t>
                  </w:r>
                </w:p>
              </w:tc>
              <w:tc>
                <w:tcPr>
                  <w:tcW w:w="936" w:type="pct"/>
                  <w:vAlign w:val="center"/>
                </w:tcPr>
                <w:p>
                  <w:pPr>
                    <w:jc w:val="center"/>
                    <w:rPr>
                      <w:szCs w:val="21"/>
                    </w:rPr>
                  </w:pPr>
                  <w:r>
                    <w:rPr>
                      <w:rFonts w:hint="eastAsia"/>
                      <w:bCs/>
                      <w:iCs/>
                      <w:szCs w:val="21"/>
                    </w:rPr>
                    <w:t>医用无纺布</w:t>
                  </w:r>
                </w:p>
              </w:tc>
              <w:tc>
                <w:tcPr>
                  <w:tcW w:w="1072" w:type="pct"/>
                  <w:vAlign w:val="center"/>
                </w:tcPr>
                <w:p>
                  <w:pPr>
                    <w:jc w:val="center"/>
                    <w:rPr>
                      <w:szCs w:val="21"/>
                    </w:rPr>
                  </w:pPr>
                  <w:r>
                    <w:rPr>
                      <w:rFonts w:hint="eastAsia"/>
                      <w:bCs/>
                      <w:iCs/>
                      <w:szCs w:val="21"/>
                    </w:rPr>
                    <w:t>卷装，</w:t>
                  </w:r>
                  <w:r>
                    <w:rPr>
                      <w:bCs/>
                      <w:iCs/>
                      <w:szCs w:val="21"/>
                    </w:rPr>
                    <w:t>52cm</w:t>
                  </w:r>
                  <w:r>
                    <w:rPr>
                      <w:rFonts w:hint="eastAsia"/>
                      <w:bCs/>
                      <w:iCs/>
                      <w:szCs w:val="21"/>
                    </w:rPr>
                    <w:t>宽</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11</w:t>
                  </w:r>
                  <w:r>
                    <w:rPr>
                      <w:bCs/>
                      <w:iCs/>
                      <w:szCs w:val="21"/>
                    </w:rPr>
                    <w:t>000kg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11</w:t>
                  </w:r>
                  <w:r>
                    <w:rPr>
                      <w:bCs/>
                      <w:iCs/>
                      <w:szCs w:val="21"/>
                    </w:rPr>
                    <w:t>000kg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5</w:t>
                  </w:r>
                </w:p>
              </w:tc>
              <w:tc>
                <w:tcPr>
                  <w:tcW w:w="936" w:type="pct"/>
                  <w:vAlign w:val="center"/>
                </w:tcPr>
                <w:p>
                  <w:pPr>
                    <w:jc w:val="center"/>
                    <w:rPr>
                      <w:bCs/>
                      <w:iCs/>
                      <w:szCs w:val="21"/>
                    </w:rPr>
                  </w:pPr>
                  <w:r>
                    <w:rPr>
                      <w:rFonts w:hint="eastAsia"/>
                      <w:bCs/>
                      <w:iCs/>
                      <w:szCs w:val="21"/>
                    </w:rPr>
                    <w:t>医用离型纸</w:t>
                  </w:r>
                </w:p>
                <w:p>
                  <w:pPr>
                    <w:jc w:val="center"/>
                    <w:rPr>
                      <w:szCs w:val="21"/>
                    </w:rPr>
                  </w:pPr>
                  <w:r>
                    <w:rPr>
                      <w:rFonts w:hint="eastAsia"/>
                      <w:bCs/>
                      <w:iCs/>
                      <w:szCs w:val="21"/>
                    </w:rPr>
                    <w:t>（硅油纸）</w:t>
                  </w:r>
                </w:p>
              </w:tc>
              <w:tc>
                <w:tcPr>
                  <w:tcW w:w="1072" w:type="pct"/>
                  <w:vAlign w:val="center"/>
                </w:tcPr>
                <w:p>
                  <w:pPr>
                    <w:jc w:val="center"/>
                    <w:rPr>
                      <w:szCs w:val="21"/>
                    </w:rPr>
                  </w:pPr>
                  <w:r>
                    <w:rPr>
                      <w:rFonts w:hint="eastAsia"/>
                      <w:bCs/>
                      <w:iCs/>
                      <w:szCs w:val="21"/>
                    </w:rPr>
                    <w:t>卷装，</w:t>
                  </w:r>
                  <w:r>
                    <w:rPr>
                      <w:bCs/>
                      <w:iCs/>
                      <w:szCs w:val="21"/>
                    </w:rPr>
                    <w:t>52cm</w:t>
                  </w:r>
                  <w:r>
                    <w:rPr>
                      <w:rFonts w:hint="eastAsia"/>
                      <w:bCs/>
                      <w:iCs/>
                      <w:szCs w:val="21"/>
                    </w:rPr>
                    <w:t>宽</w:t>
                  </w:r>
                </w:p>
              </w:tc>
              <w:tc>
                <w:tcPr>
                  <w:tcW w:w="801" w:type="pct"/>
                  <w:tcBorders>
                    <w:right w:val="single" w:color="auto" w:sz="4" w:space="0"/>
                  </w:tcBorders>
                  <w:shd w:val="clear" w:color="auto" w:fill="auto"/>
                  <w:vAlign w:val="center"/>
                </w:tcPr>
                <w:p>
                  <w:pPr>
                    <w:jc w:val="center"/>
                    <w:rPr>
                      <w:szCs w:val="21"/>
                    </w:rPr>
                  </w:pPr>
                  <w:r>
                    <w:rPr>
                      <w:bCs/>
                      <w:iCs/>
                      <w:szCs w:val="21"/>
                    </w:rPr>
                    <w:t>1</w:t>
                  </w:r>
                  <w:r>
                    <w:rPr>
                      <w:rFonts w:hint="eastAsia"/>
                      <w:bCs/>
                      <w:iCs/>
                      <w:szCs w:val="21"/>
                    </w:rPr>
                    <w:t>1</w:t>
                  </w:r>
                  <w:r>
                    <w:rPr>
                      <w:bCs/>
                      <w:iCs/>
                      <w:szCs w:val="21"/>
                    </w:rPr>
                    <w:t>000kg</w:t>
                  </w:r>
                  <w:r>
                    <w:rPr>
                      <w:szCs w:val="21"/>
                    </w:rPr>
                    <w:t>/a</w:t>
                  </w:r>
                </w:p>
              </w:tc>
              <w:tc>
                <w:tcPr>
                  <w:tcW w:w="714" w:type="pct"/>
                  <w:tcBorders>
                    <w:left w:val="single" w:color="auto" w:sz="4" w:space="0"/>
                  </w:tcBorders>
                  <w:shd w:val="clear" w:color="auto" w:fill="auto"/>
                  <w:vAlign w:val="center"/>
                </w:tcPr>
                <w:p>
                  <w:pPr>
                    <w:jc w:val="center"/>
                    <w:rPr>
                      <w:szCs w:val="21"/>
                    </w:rPr>
                  </w:pPr>
                  <w:r>
                    <w:rPr>
                      <w:bCs/>
                      <w:iCs/>
                      <w:szCs w:val="21"/>
                    </w:rPr>
                    <w:t>1</w:t>
                  </w:r>
                  <w:r>
                    <w:rPr>
                      <w:rFonts w:hint="eastAsia"/>
                      <w:bCs/>
                      <w:iCs/>
                      <w:szCs w:val="21"/>
                    </w:rPr>
                    <w:t>1</w:t>
                  </w:r>
                  <w:r>
                    <w:rPr>
                      <w:bCs/>
                      <w:iCs/>
                      <w:szCs w:val="21"/>
                    </w:rPr>
                    <w:t>000kg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6</w:t>
                  </w:r>
                </w:p>
              </w:tc>
              <w:tc>
                <w:tcPr>
                  <w:tcW w:w="936" w:type="pct"/>
                  <w:vAlign w:val="center"/>
                </w:tcPr>
                <w:p>
                  <w:pPr>
                    <w:jc w:val="center"/>
                    <w:rPr>
                      <w:szCs w:val="21"/>
                    </w:rPr>
                  </w:pPr>
                  <w:r>
                    <w:rPr>
                      <w:rFonts w:hint="eastAsia"/>
                      <w:bCs/>
                      <w:iCs/>
                      <w:szCs w:val="21"/>
                    </w:rPr>
                    <w:t>珠光膜</w:t>
                  </w:r>
                </w:p>
              </w:tc>
              <w:tc>
                <w:tcPr>
                  <w:tcW w:w="1072" w:type="pct"/>
                  <w:vAlign w:val="center"/>
                </w:tcPr>
                <w:p>
                  <w:pPr>
                    <w:jc w:val="center"/>
                    <w:rPr>
                      <w:szCs w:val="21"/>
                    </w:rPr>
                  </w:pPr>
                  <w:r>
                    <w:rPr>
                      <w:bCs/>
                      <w:iCs/>
                      <w:szCs w:val="21"/>
                    </w:rPr>
                    <w:t>90mm×130mm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80</w:t>
                  </w:r>
                  <w:r>
                    <w:rPr>
                      <w:bCs/>
                      <w:iCs/>
                      <w:szCs w:val="21"/>
                    </w:rPr>
                    <w:t>2</w:t>
                  </w:r>
                  <w:r>
                    <w:rPr>
                      <w:rFonts w:hint="eastAsia"/>
                      <w:bCs/>
                      <w:iCs/>
                      <w:szCs w:val="21"/>
                    </w:rPr>
                    <w:t>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80</w:t>
                  </w:r>
                  <w:r>
                    <w:rPr>
                      <w:bCs/>
                      <w:iCs/>
                      <w:szCs w:val="21"/>
                    </w:rPr>
                    <w:t>2</w:t>
                  </w:r>
                  <w:r>
                    <w:rPr>
                      <w:rFonts w:hint="eastAsia"/>
                      <w:bCs/>
                      <w:iCs/>
                      <w:szCs w:val="21"/>
                    </w:rPr>
                    <w:t>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7</w:t>
                  </w:r>
                </w:p>
              </w:tc>
              <w:tc>
                <w:tcPr>
                  <w:tcW w:w="936" w:type="pct"/>
                  <w:vAlign w:val="center"/>
                </w:tcPr>
                <w:p>
                  <w:pPr>
                    <w:jc w:val="center"/>
                    <w:rPr>
                      <w:szCs w:val="21"/>
                    </w:rPr>
                  </w:pPr>
                  <w:r>
                    <w:rPr>
                      <w:rFonts w:hint="eastAsia"/>
                      <w:bCs/>
                      <w:iCs/>
                      <w:szCs w:val="21"/>
                    </w:rPr>
                    <w:t>过滤网</w:t>
                  </w:r>
                </w:p>
              </w:tc>
              <w:tc>
                <w:tcPr>
                  <w:tcW w:w="1072" w:type="pct"/>
                  <w:vAlign w:val="center"/>
                </w:tcPr>
                <w:p>
                  <w:pPr>
                    <w:jc w:val="center"/>
                    <w:rPr>
                      <w:szCs w:val="21"/>
                    </w:rPr>
                  </w:pPr>
                  <w:r>
                    <w:rPr>
                      <w:bCs/>
                      <w:iCs/>
                      <w:szCs w:val="21"/>
                    </w:rPr>
                    <w:t>70mm×100mm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8</w:t>
                  </w:r>
                  <w:r>
                    <w:rPr>
                      <w:bCs/>
                      <w:iCs/>
                      <w:szCs w:val="21"/>
                    </w:rPr>
                    <w:t>0</w:t>
                  </w:r>
                  <w:r>
                    <w:rPr>
                      <w:rFonts w:hint="eastAsia"/>
                      <w:bCs/>
                      <w:iCs/>
                      <w:szCs w:val="21"/>
                    </w:rPr>
                    <w:t>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8</w:t>
                  </w:r>
                  <w:r>
                    <w:rPr>
                      <w:bCs/>
                      <w:iCs/>
                      <w:szCs w:val="21"/>
                    </w:rPr>
                    <w:t>0</w:t>
                  </w:r>
                  <w:r>
                    <w:rPr>
                      <w:rFonts w:hint="eastAsia"/>
                      <w:bCs/>
                      <w:iCs/>
                      <w:szCs w:val="21"/>
                    </w:rPr>
                    <w:t>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8</w:t>
                  </w:r>
                </w:p>
              </w:tc>
              <w:tc>
                <w:tcPr>
                  <w:tcW w:w="936" w:type="pct"/>
                  <w:vAlign w:val="center"/>
                </w:tcPr>
                <w:p>
                  <w:pPr>
                    <w:jc w:val="center"/>
                    <w:rPr>
                      <w:szCs w:val="21"/>
                    </w:rPr>
                  </w:pPr>
                  <w:r>
                    <w:rPr>
                      <w:rFonts w:hint="eastAsia"/>
                      <w:bCs/>
                      <w:iCs/>
                      <w:szCs w:val="21"/>
                    </w:rPr>
                    <w:t>包装袋</w:t>
                  </w:r>
                </w:p>
              </w:tc>
              <w:tc>
                <w:tcPr>
                  <w:tcW w:w="1072" w:type="pct"/>
                  <w:vAlign w:val="center"/>
                </w:tcPr>
                <w:p>
                  <w:pPr>
                    <w:jc w:val="center"/>
                    <w:rPr>
                      <w:szCs w:val="21"/>
                    </w:rPr>
                  </w:pPr>
                  <w:r>
                    <w:rPr>
                      <w:bCs/>
                      <w:iCs/>
                      <w:szCs w:val="21"/>
                    </w:rPr>
                    <w:t>100mm×150mm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4006万个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4006万个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2</w:t>
                  </w:r>
                  <w:r>
                    <w:rPr>
                      <w:kern w:val="0"/>
                      <w:szCs w:val="21"/>
                    </w:rPr>
                    <w:t>9</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160万个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160万个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szCs w:val="21"/>
                    </w:rPr>
                    <w:t>膏体抑菌剂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0</w:t>
                  </w:r>
                </w:p>
              </w:tc>
              <w:tc>
                <w:tcPr>
                  <w:tcW w:w="936" w:type="pct"/>
                  <w:vAlign w:val="center"/>
                </w:tcPr>
                <w:p>
                  <w:pPr>
                    <w:jc w:val="center"/>
                    <w:rPr>
                      <w:szCs w:val="21"/>
                    </w:rPr>
                  </w:pPr>
                  <w:r>
                    <w:rPr>
                      <w:rFonts w:hint="eastAsia"/>
                      <w:bCs/>
                      <w:iCs/>
                      <w:szCs w:val="21"/>
                    </w:rPr>
                    <w:t>乳化剂</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3050</w:t>
                  </w:r>
                  <w:r>
                    <w:rPr>
                      <w:bCs/>
                      <w:iCs/>
                      <w:szCs w:val="21"/>
                    </w:rPr>
                    <w:t>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3050</w:t>
                  </w:r>
                  <w:r>
                    <w:rPr>
                      <w:bCs/>
                      <w:iCs/>
                      <w:szCs w:val="21"/>
                    </w:rPr>
                    <w:t>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1</w:t>
                  </w:r>
                </w:p>
              </w:tc>
              <w:tc>
                <w:tcPr>
                  <w:tcW w:w="936" w:type="pct"/>
                  <w:vAlign w:val="center"/>
                </w:tcPr>
                <w:p>
                  <w:pPr>
                    <w:jc w:val="center"/>
                    <w:rPr>
                      <w:szCs w:val="21"/>
                    </w:rPr>
                  </w:pPr>
                  <w:r>
                    <w:rPr>
                      <w:rFonts w:hint="eastAsia"/>
                      <w:bCs/>
                      <w:iCs/>
                      <w:szCs w:val="21"/>
                    </w:rPr>
                    <w:t>丙二醇</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2100</w:t>
                  </w:r>
                  <w:r>
                    <w:rPr>
                      <w:bCs/>
                      <w:iCs/>
                      <w:szCs w:val="21"/>
                    </w:rPr>
                    <w:t>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2100</w:t>
                  </w:r>
                  <w:r>
                    <w:rPr>
                      <w:bCs/>
                      <w:iCs/>
                      <w:szCs w:val="21"/>
                    </w:rPr>
                    <w:t>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2</w:t>
                  </w:r>
                </w:p>
              </w:tc>
              <w:tc>
                <w:tcPr>
                  <w:tcW w:w="936" w:type="pct"/>
                  <w:vAlign w:val="center"/>
                </w:tcPr>
                <w:p>
                  <w:pPr>
                    <w:jc w:val="center"/>
                    <w:rPr>
                      <w:szCs w:val="21"/>
                    </w:rPr>
                  </w:pPr>
                  <w:r>
                    <w:rPr>
                      <w:rFonts w:hint="eastAsia"/>
                      <w:bCs/>
                      <w:iCs/>
                      <w:szCs w:val="21"/>
                    </w:rPr>
                    <w:t>甘油</w:t>
                  </w:r>
                </w:p>
              </w:tc>
              <w:tc>
                <w:tcPr>
                  <w:tcW w:w="1072" w:type="pct"/>
                  <w:vAlign w:val="center"/>
                </w:tcPr>
                <w:p>
                  <w:pPr>
                    <w:jc w:val="center"/>
                    <w:rPr>
                      <w:szCs w:val="21"/>
                    </w:rPr>
                  </w:pPr>
                  <w:r>
                    <w:rPr>
                      <w:bCs/>
                      <w:iCs/>
                      <w:szCs w:val="21"/>
                    </w:rPr>
                    <w:t>250</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2100</w:t>
                  </w:r>
                  <w:r>
                    <w:rPr>
                      <w:bCs/>
                      <w:iCs/>
                      <w:szCs w:val="21"/>
                    </w:rPr>
                    <w:t>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2100</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3</w:t>
                  </w:r>
                </w:p>
              </w:tc>
              <w:tc>
                <w:tcPr>
                  <w:tcW w:w="936" w:type="pct"/>
                  <w:vAlign w:val="center"/>
                </w:tcPr>
                <w:p>
                  <w:pPr>
                    <w:jc w:val="center"/>
                    <w:rPr>
                      <w:szCs w:val="21"/>
                    </w:rPr>
                  </w:pPr>
                  <w:r>
                    <w:rPr>
                      <w:rFonts w:hint="eastAsia"/>
                      <w:bCs/>
                      <w:iCs/>
                      <w:szCs w:val="21"/>
                    </w:rPr>
                    <w:t>二甲基硅油</w:t>
                  </w:r>
                </w:p>
              </w:tc>
              <w:tc>
                <w:tcPr>
                  <w:tcW w:w="1072" w:type="pct"/>
                  <w:vAlign w:val="center"/>
                </w:tcPr>
                <w:p>
                  <w:pPr>
                    <w:jc w:val="center"/>
                    <w:rPr>
                      <w:szCs w:val="21"/>
                    </w:rPr>
                  </w:pPr>
                  <w:r>
                    <w:rPr>
                      <w:bCs/>
                      <w:iCs/>
                      <w:szCs w:val="21"/>
                    </w:rPr>
                    <w:t>50</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1500</w:t>
                  </w:r>
                  <w:r>
                    <w:rPr>
                      <w:bCs/>
                      <w:iCs/>
                      <w:szCs w:val="21"/>
                    </w:rPr>
                    <w:t>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1500</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4</w:t>
                  </w:r>
                </w:p>
              </w:tc>
              <w:tc>
                <w:tcPr>
                  <w:tcW w:w="936" w:type="pct"/>
                  <w:vAlign w:val="center"/>
                </w:tcPr>
                <w:p>
                  <w:pPr>
                    <w:jc w:val="center"/>
                    <w:rPr>
                      <w:szCs w:val="21"/>
                    </w:rPr>
                  </w:pPr>
                  <w:r>
                    <w:rPr>
                      <w:bCs/>
                      <w:iCs/>
                      <w:szCs w:val="21"/>
                    </w:rPr>
                    <w:t>97%</w:t>
                  </w:r>
                  <w:r>
                    <w:rPr>
                      <w:rFonts w:hint="eastAsia"/>
                      <w:bCs/>
                      <w:iCs/>
                      <w:szCs w:val="21"/>
                    </w:rPr>
                    <w:t>酒精</w:t>
                  </w:r>
                </w:p>
              </w:tc>
              <w:tc>
                <w:tcPr>
                  <w:tcW w:w="1072" w:type="pct"/>
                  <w:vAlign w:val="center"/>
                </w:tcPr>
                <w:p>
                  <w:pPr>
                    <w:jc w:val="center"/>
                    <w:rPr>
                      <w:szCs w:val="21"/>
                    </w:rPr>
                  </w:pPr>
                  <w:r>
                    <w:rPr>
                      <w:bCs/>
                      <w:iCs/>
                      <w:szCs w:val="21"/>
                    </w:rPr>
                    <w:t>25</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300</w:t>
                  </w:r>
                  <w:r>
                    <w:rPr>
                      <w:bCs/>
                      <w:iCs/>
                      <w:szCs w:val="21"/>
                    </w:rPr>
                    <w:t>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300</w:t>
                  </w:r>
                  <w:r>
                    <w:rPr>
                      <w:bCs/>
                      <w:iCs/>
                      <w:szCs w:val="21"/>
                    </w:rPr>
                    <w:t>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5</w:t>
                  </w:r>
                </w:p>
              </w:tc>
              <w:tc>
                <w:tcPr>
                  <w:tcW w:w="936" w:type="pct"/>
                  <w:vAlign w:val="center"/>
                </w:tcPr>
                <w:p>
                  <w:pPr>
                    <w:jc w:val="center"/>
                    <w:rPr>
                      <w:szCs w:val="21"/>
                    </w:rPr>
                  </w:pPr>
                  <w:r>
                    <w:rPr>
                      <w:rFonts w:hint="eastAsia"/>
                      <w:bCs/>
                      <w:iCs/>
                      <w:szCs w:val="21"/>
                    </w:rPr>
                    <w:t>薄荷脑</w:t>
                  </w:r>
                </w:p>
              </w:tc>
              <w:tc>
                <w:tcPr>
                  <w:tcW w:w="1072" w:type="pct"/>
                  <w:vAlign w:val="center"/>
                </w:tcPr>
                <w:p>
                  <w:pPr>
                    <w:jc w:val="center"/>
                    <w:rPr>
                      <w:szCs w:val="21"/>
                    </w:rPr>
                  </w:pPr>
                  <w:r>
                    <w:rPr>
                      <w:bCs/>
                      <w:iCs/>
                      <w:szCs w:val="21"/>
                    </w:rPr>
                    <w:t>25</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140</w:t>
                  </w:r>
                  <w:r>
                    <w:rPr>
                      <w:bCs/>
                      <w:iCs/>
                      <w:szCs w:val="21"/>
                    </w:rPr>
                    <w:t>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140</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6</w:t>
                  </w:r>
                </w:p>
              </w:tc>
              <w:tc>
                <w:tcPr>
                  <w:tcW w:w="936" w:type="pct"/>
                  <w:vAlign w:val="center"/>
                </w:tcPr>
                <w:p>
                  <w:pPr>
                    <w:jc w:val="center"/>
                    <w:rPr>
                      <w:szCs w:val="21"/>
                    </w:rPr>
                  </w:pPr>
                  <w:r>
                    <w:rPr>
                      <w:rFonts w:hint="eastAsia"/>
                      <w:bCs/>
                      <w:iCs/>
                      <w:szCs w:val="21"/>
                    </w:rPr>
                    <w:t>冰片（合成龙脑）</w:t>
                  </w:r>
                </w:p>
              </w:tc>
              <w:tc>
                <w:tcPr>
                  <w:tcW w:w="1072" w:type="pct"/>
                  <w:vAlign w:val="center"/>
                </w:tcPr>
                <w:p>
                  <w:pPr>
                    <w:jc w:val="center"/>
                    <w:rPr>
                      <w:szCs w:val="21"/>
                    </w:rPr>
                  </w:pPr>
                  <w:r>
                    <w:rPr>
                      <w:bCs/>
                      <w:iCs/>
                      <w:szCs w:val="21"/>
                    </w:rPr>
                    <w:t>25</w:t>
                  </w:r>
                  <w:r>
                    <w:rPr>
                      <w:szCs w:val="21"/>
                    </w:rPr>
                    <w:t>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120</w:t>
                  </w:r>
                  <w:r>
                    <w:rPr>
                      <w:bCs/>
                      <w:iCs/>
                      <w:szCs w:val="21"/>
                    </w:rPr>
                    <w:t>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120</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7</w:t>
                  </w:r>
                </w:p>
              </w:tc>
              <w:tc>
                <w:tcPr>
                  <w:tcW w:w="936" w:type="pct"/>
                  <w:vAlign w:val="center"/>
                </w:tcPr>
                <w:p>
                  <w:pPr>
                    <w:jc w:val="center"/>
                    <w:rPr>
                      <w:szCs w:val="21"/>
                    </w:rPr>
                  </w:pPr>
                  <w:r>
                    <w:rPr>
                      <w:rFonts w:hint="eastAsia"/>
                      <w:szCs w:val="21"/>
                    </w:rPr>
                    <w:t>二苯醚</w:t>
                  </w:r>
                </w:p>
              </w:tc>
              <w:tc>
                <w:tcPr>
                  <w:tcW w:w="1072" w:type="pct"/>
                  <w:vAlign w:val="center"/>
                </w:tcPr>
                <w:p>
                  <w:pPr>
                    <w:jc w:val="center"/>
                    <w:rPr>
                      <w:szCs w:val="21"/>
                    </w:rPr>
                  </w:pPr>
                  <w:r>
                    <w:rPr>
                      <w:bCs/>
                      <w:iCs/>
                      <w:szCs w:val="21"/>
                    </w:rPr>
                    <w:t>25kg/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bCs/>
                      <w:iCs/>
                      <w:szCs w:val="21"/>
                    </w:rPr>
                    <w:t>950kg</w:t>
                  </w:r>
                  <w:r>
                    <w:rPr>
                      <w:szCs w:val="21"/>
                    </w:rPr>
                    <w:t>/a</w:t>
                  </w:r>
                </w:p>
              </w:tc>
              <w:tc>
                <w:tcPr>
                  <w:tcW w:w="714" w:type="pct"/>
                  <w:tcBorders>
                    <w:left w:val="single" w:color="auto" w:sz="4" w:space="0"/>
                  </w:tcBorders>
                  <w:shd w:val="clear" w:color="auto" w:fill="auto"/>
                  <w:vAlign w:val="center"/>
                </w:tcPr>
                <w:p>
                  <w:pPr>
                    <w:jc w:val="center"/>
                    <w:rPr>
                      <w:b/>
                      <w:bCs/>
                      <w:szCs w:val="21"/>
                    </w:rPr>
                  </w:pPr>
                  <w:r>
                    <w:rPr>
                      <w:bCs/>
                      <w:iCs/>
                      <w:szCs w:val="21"/>
                    </w:rPr>
                    <w:t>950kg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8</w:t>
                  </w:r>
                </w:p>
              </w:tc>
              <w:tc>
                <w:tcPr>
                  <w:tcW w:w="936" w:type="pct"/>
                  <w:vAlign w:val="center"/>
                </w:tcPr>
                <w:p>
                  <w:pPr>
                    <w:jc w:val="center"/>
                    <w:rPr>
                      <w:szCs w:val="21"/>
                    </w:rPr>
                  </w:pPr>
                  <w:r>
                    <w:rPr>
                      <w:rFonts w:hint="eastAsia"/>
                      <w:szCs w:val="21"/>
                    </w:rPr>
                    <w:t>樟脑</w:t>
                  </w:r>
                </w:p>
              </w:tc>
              <w:tc>
                <w:tcPr>
                  <w:tcW w:w="1072" w:type="pct"/>
                  <w:vAlign w:val="center"/>
                </w:tcPr>
                <w:p>
                  <w:pPr>
                    <w:jc w:val="center"/>
                    <w:rPr>
                      <w:szCs w:val="21"/>
                    </w:rPr>
                  </w:pPr>
                  <w:r>
                    <w:rPr>
                      <w:bCs/>
                      <w:iCs/>
                      <w:szCs w:val="21"/>
                    </w:rPr>
                    <w:t>25kg/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rFonts w:hint="eastAsia"/>
                      <w:bCs/>
                      <w:iCs/>
                      <w:szCs w:val="21"/>
                    </w:rPr>
                    <w:t>500</w:t>
                  </w:r>
                  <w:r>
                    <w:rPr>
                      <w:bCs/>
                      <w:iCs/>
                      <w:szCs w:val="21"/>
                    </w:rPr>
                    <w:t>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500</w:t>
                  </w:r>
                  <w:r>
                    <w:rPr>
                      <w:bCs/>
                      <w:iCs/>
                      <w:szCs w:val="21"/>
                    </w:rPr>
                    <w:t>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3</w:t>
                  </w:r>
                  <w:r>
                    <w:rPr>
                      <w:kern w:val="0"/>
                      <w:szCs w:val="21"/>
                    </w:rPr>
                    <w:t>9</w:t>
                  </w:r>
                </w:p>
              </w:tc>
              <w:tc>
                <w:tcPr>
                  <w:tcW w:w="936" w:type="pct"/>
                  <w:vAlign w:val="center"/>
                </w:tcPr>
                <w:p>
                  <w:pPr>
                    <w:jc w:val="center"/>
                    <w:rPr>
                      <w:szCs w:val="21"/>
                    </w:rPr>
                  </w:pPr>
                  <w:r>
                    <w:rPr>
                      <w:rFonts w:hint="eastAsia"/>
                      <w:bCs/>
                      <w:iCs/>
                      <w:szCs w:val="21"/>
                    </w:rPr>
                    <w:t>桂花香精</w:t>
                  </w:r>
                </w:p>
              </w:tc>
              <w:tc>
                <w:tcPr>
                  <w:tcW w:w="1072" w:type="pct"/>
                  <w:vAlign w:val="center"/>
                </w:tcPr>
                <w:p>
                  <w:pPr>
                    <w:jc w:val="center"/>
                    <w:rPr>
                      <w:szCs w:val="21"/>
                    </w:rPr>
                  </w:pPr>
                  <w:r>
                    <w:rPr>
                      <w:bCs/>
                      <w:iCs/>
                      <w:szCs w:val="21"/>
                    </w:rPr>
                    <w:t>25kg/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5</w:t>
                  </w:r>
                  <w:r>
                    <w:rPr>
                      <w:bCs/>
                      <w:iCs/>
                      <w:szCs w:val="21"/>
                    </w:rPr>
                    <w:t>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5</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0</w:t>
                  </w:r>
                </w:p>
              </w:tc>
              <w:tc>
                <w:tcPr>
                  <w:tcW w:w="936" w:type="pct"/>
                  <w:vAlign w:val="center"/>
                </w:tcPr>
                <w:p>
                  <w:pPr>
                    <w:jc w:val="center"/>
                    <w:rPr>
                      <w:szCs w:val="21"/>
                    </w:rPr>
                  </w:pPr>
                  <w:r>
                    <w:rPr>
                      <w:rFonts w:hint="eastAsia"/>
                      <w:bCs/>
                      <w:iCs/>
                      <w:szCs w:val="21"/>
                    </w:rPr>
                    <w:t>防腐剂（</w:t>
                  </w:r>
                  <w:r>
                    <w:rPr>
                      <w:bCs/>
                      <w:iCs/>
                      <w:szCs w:val="21"/>
                    </w:rPr>
                    <w:t>DMDHM</w:t>
                  </w:r>
                  <w:r>
                    <w:rPr>
                      <w:rFonts w:hint="eastAsia"/>
                      <w:bCs/>
                      <w:iCs/>
                      <w:szCs w:val="21"/>
                    </w:rPr>
                    <w:t>）</w:t>
                  </w:r>
                </w:p>
              </w:tc>
              <w:tc>
                <w:tcPr>
                  <w:tcW w:w="1072" w:type="pct"/>
                  <w:vAlign w:val="center"/>
                </w:tcPr>
                <w:p>
                  <w:pPr>
                    <w:jc w:val="center"/>
                    <w:rPr>
                      <w:szCs w:val="21"/>
                    </w:rPr>
                  </w:pPr>
                  <w:r>
                    <w:rPr>
                      <w:bCs/>
                      <w:iCs/>
                      <w:szCs w:val="21"/>
                    </w:rPr>
                    <w:t>25</w:t>
                  </w:r>
                  <w:r>
                    <w:rPr>
                      <w:szCs w:val="21"/>
                    </w:rPr>
                    <w:t xml:space="preserve"> 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5</w:t>
                  </w:r>
                  <w:r>
                    <w:rPr>
                      <w:bCs/>
                      <w:iCs/>
                      <w:szCs w:val="21"/>
                    </w:rPr>
                    <w:t>00kg</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5</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1</w:t>
                  </w:r>
                </w:p>
              </w:tc>
              <w:tc>
                <w:tcPr>
                  <w:tcW w:w="936" w:type="pct"/>
                  <w:vAlign w:val="center"/>
                </w:tcPr>
                <w:p>
                  <w:pPr>
                    <w:jc w:val="center"/>
                    <w:rPr>
                      <w:szCs w:val="21"/>
                    </w:rPr>
                  </w:pPr>
                  <w:r>
                    <w:rPr>
                      <w:rFonts w:hint="eastAsia"/>
                      <w:bCs/>
                      <w:iCs/>
                      <w:szCs w:val="21"/>
                    </w:rPr>
                    <w:t>纯化水</w:t>
                  </w:r>
                </w:p>
              </w:tc>
              <w:tc>
                <w:tcPr>
                  <w:tcW w:w="1072" w:type="pct"/>
                  <w:vAlign w:val="center"/>
                </w:tcPr>
                <w:p>
                  <w:pPr>
                    <w:jc w:val="center"/>
                    <w:rPr>
                      <w:szCs w:val="21"/>
                    </w:rPr>
                  </w:pPr>
                  <w:r>
                    <w:rPr>
                      <w:bCs/>
                      <w:iCs/>
                      <w:szCs w:val="21"/>
                    </w:rPr>
                    <w:t>/</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16.3</w:t>
                  </w:r>
                  <w:r>
                    <w:rPr>
                      <w:bCs/>
                      <w:iCs/>
                      <w:szCs w:val="21"/>
                    </w:rPr>
                    <w:t>m</w:t>
                  </w:r>
                  <w:r>
                    <w:rPr>
                      <w:bCs/>
                      <w:iCs/>
                      <w:szCs w:val="21"/>
                      <w:vertAlign w:val="superscript"/>
                    </w:rPr>
                    <w:t>3</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16.3</w:t>
                  </w:r>
                  <w:r>
                    <w:rPr>
                      <w:bCs/>
                      <w:iCs/>
                      <w:szCs w:val="21"/>
                    </w:rPr>
                    <w:t>m</w:t>
                  </w:r>
                  <w:r>
                    <w:rPr>
                      <w:bCs/>
                      <w:iCs/>
                      <w:szCs w:val="21"/>
                      <w:vertAlign w:val="superscript"/>
                    </w:rPr>
                    <w:t>3</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自制</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2</w:t>
                  </w:r>
                </w:p>
              </w:tc>
              <w:tc>
                <w:tcPr>
                  <w:tcW w:w="936" w:type="pct"/>
                  <w:vAlign w:val="center"/>
                </w:tcPr>
                <w:p>
                  <w:pPr>
                    <w:jc w:val="center"/>
                    <w:rPr>
                      <w:szCs w:val="21"/>
                    </w:rPr>
                  </w:pPr>
                  <w:r>
                    <w:rPr>
                      <w:rFonts w:hint="eastAsia"/>
                      <w:bCs/>
                      <w:iCs/>
                      <w:szCs w:val="21"/>
                    </w:rPr>
                    <w:t>包装管</w:t>
                  </w:r>
                </w:p>
              </w:tc>
              <w:tc>
                <w:tcPr>
                  <w:tcW w:w="1072" w:type="pct"/>
                  <w:vAlign w:val="center"/>
                </w:tcPr>
                <w:p>
                  <w:pPr>
                    <w:jc w:val="center"/>
                    <w:rPr>
                      <w:szCs w:val="21"/>
                    </w:rPr>
                  </w:pPr>
                  <w:r>
                    <w:rPr>
                      <w:bCs/>
                      <w:iCs/>
                      <w:szCs w:val="21"/>
                    </w:rPr>
                    <w:t>12g/</w:t>
                  </w:r>
                  <w:r>
                    <w:rPr>
                      <w:rFonts w:hint="eastAsia"/>
                      <w:bCs/>
                      <w:iCs/>
                      <w:szCs w:val="21"/>
                    </w:rPr>
                    <w:t>支</w:t>
                  </w:r>
                </w:p>
              </w:tc>
              <w:tc>
                <w:tcPr>
                  <w:tcW w:w="801" w:type="pct"/>
                  <w:tcBorders>
                    <w:right w:val="single" w:color="auto" w:sz="4" w:space="0"/>
                  </w:tcBorders>
                  <w:shd w:val="clear" w:color="auto" w:fill="auto"/>
                  <w:vAlign w:val="center"/>
                </w:tcPr>
                <w:p>
                  <w:pPr>
                    <w:jc w:val="center"/>
                    <w:rPr>
                      <w:szCs w:val="21"/>
                    </w:rPr>
                  </w:pPr>
                  <w:r>
                    <w:rPr>
                      <w:rFonts w:hint="eastAsia"/>
                      <w:bCs/>
                      <w:iCs/>
                      <w:szCs w:val="21"/>
                    </w:rPr>
                    <w:t>460万支</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460万支</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3</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30mm×100mm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460万个</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460万个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4</w:t>
                  </w:r>
                </w:p>
              </w:tc>
              <w:tc>
                <w:tcPr>
                  <w:tcW w:w="936" w:type="pct"/>
                  <w:vAlign w:val="center"/>
                </w:tcPr>
                <w:p>
                  <w:pPr>
                    <w:jc w:val="center"/>
                    <w:rPr>
                      <w:szCs w:val="21"/>
                    </w:rPr>
                  </w:pPr>
                  <w:r>
                    <w:rPr>
                      <w:rFonts w:hint="eastAsia"/>
                      <w:bCs/>
                      <w:iCs/>
                      <w:szCs w:val="21"/>
                    </w:rPr>
                    <w:t>试用装包装袋</w:t>
                  </w:r>
                </w:p>
              </w:tc>
              <w:tc>
                <w:tcPr>
                  <w:tcW w:w="1072" w:type="pct"/>
                  <w:vAlign w:val="center"/>
                </w:tcPr>
                <w:p>
                  <w:pPr>
                    <w:jc w:val="center"/>
                    <w:rPr>
                      <w:szCs w:val="21"/>
                    </w:rPr>
                  </w:pPr>
                  <w:r>
                    <w:rPr>
                      <w:bCs/>
                      <w:iCs/>
                      <w:szCs w:val="21"/>
                    </w:rPr>
                    <w:t>40mm×50mm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30万个</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30万个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kern w:val="0"/>
                      <w:szCs w:val="21"/>
                    </w:rPr>
                    <w:t>45</w:t>
                  </w:r>
                </w:p>
              </w:tc>
              <w:tc>
                <w:tcPr>
                  <w:tcW w:w="936" w:type="pct"/>
                  <w:vAlign w:val="center"/>
                </w:tcPr>
                <w:p>
                  <w:pPr>
                    <w:jc w:val="center"/>
                    <w:rPr>
                      <w:szCs w:val="21"/>
                    </w:rPr>
                  </w:pPr>
                  <w:r>
                    <w:rPr>
                      <w:bCs/>
                      <w:iCs/>
                      <w:szCs w:val="21"/>
                    </w:rPr>
                    <w:t>30g</w:t>
                  </w:r>
                  <w:r>
                    <w:rPr>
                      <w:rFonts w:hint="eastAsia"/>
                      <w:bCs/>
                      <w:iCs/>
                      <w:szCs w:val="21"/>
                    </w:rPr>
                    <w:t>塑料瓶</w:t>
                  </w:r>
                </w:p>
              </w:tc>
              <w:tc>
                <w:tcPr>
                  <w:tcW w:w="1072" w:type="pct"/>
                  <w:vAlign w:val="center"/>
                </w:tcPr>
                <w:p>
                  <w:pPr>
                    <w:jc w:val="center"/>
                    <w:rPr>
                      <w:szCs w:val="21"/>
                    </w:rPr>
                  </w:pPr>
                  <w:r>
                    <w:rPr>
                      <w:bCs/>
                      <w:iCs/>
                      <w:szCs w:val="21"/>
                    </w:rPr>
                    <w:t>30g/</w:t>
                  </w:r>
                  <w:r>
                    <w:rPr>
                      <w:rFonts w:hint="eastAsia"/>
                      <w:bCs/>
                      <w:iCs/>
                      <w:szCs w:val="21"/>
                    </w:rPr>
                    <w:t>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65万瓶</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65万瓶</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6</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50mm×70mm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65万个</w:t>
                  </w:r>
                  <w:r>
                    <w:rPr>
                      <w:szCs w:val="21"/>
                    </w:rPr>
                    <w:t>/a</w:t>
                  </w:r>
                </w:p>
              </w:tc>
              <w:tc>
                <w:tcPr>
                  <w:tcW w:w="714" w:type="pct"/>
                  <w:tcBorders>
                    <w:left w:val="single" w:color="auto" w:sz="4" w:space="0"/>
                  </w:tcBorders>
                  <w:shd w:val="clear" w:color="auto" w:fill="auto"/>
                  <w:vAlign w:val="center"/>
                </w:tcPr>
                <w:p>
                  <w:pPr>
                    <w:jc w:val="center"/>
                    <w:rPr>
                      <w:b/>
                      <w:bCs/>
                      <w:szCs w:val="21"/>
                    </w:rPr>
                  </w:pPr>
                  <w:r>
                    <w:rPr>
                      <w:rFonts w:hint="eastAsia"/>
                      <w:bCs/>
                      <w:iCs/>
                      <w:szCs w:val="21"/>
                    </w:rPr>
                    <w:t>65万个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szCs w:val="21"/>
                    </w:rPr>
                    <w:t>液体抑菌剂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7</w:t>
                  </w:r>
                </w:p>
              </w:tc>
              <w:tc>
                <w:tcPr>
                  <w:tcW w:w="936" w:type="pct"/>
                  <w:vAlign w:val="center"/>
                </w:tcPr>
                <w:p>
                  <w:pPr>
                    <w:jc w:val="center"/>
                    <w:rPr>
                      <w:szCs w:val="21"/>
                    </w:rPr>
                  </w:pPr>
                  <w:r>
                    <w:rPr>
                      <w:rFonts w:hint="eastAsia"/>
                      <w:bCs/>
                      <w:iCs/>
                      <w:szCs w:val="21"/>
                    </w:rPr>
                    <w:t>中药提取液</w:t>
                  </w:r>
                </w:p>
              </w:tc>
              <w:tc>
                <w:tcPr>
                  <w:tcW w:w="1072" w:type="pct"/>
                  <w:vAlign w:val="center"/>
                </w:tcPr>
                <w:p>
                  <w:pPr>
                    <w:jc w:val="center"/>
                    <w:rPr>
                      <w:szCs w:val="21"/>
                    </w:rPr>
                  </w:pPr>
                  <w:r>
                    <w:rPr>
                      <w:rFonts w:hint="eastAsia"/>
                      <w:bCs/>
                      <w:iCs/>
                      <w:szCs w:val="21"/>
                    </w:rPr>
                    <w:t>含黄柏、苦参、白藓皮、薄荷等</w:t>
                  </w:r>
                </w:p>
              </w:tc>
              <w:tc>
                <w:tcPr>
                  <w:tcW w:w="801" w:type="pct"/>
                  <w:tcBorders>
                    <w:right w:val="single" w:color="auto" w:sz="4" w:space="0"/>
                  </w:tcBorders>
                  <w:shd w:val="clear" w:color="auto" w:fill="auto"/>
                  <w:vAlign w:val="center"/>
                </w:tcPr>
                <w:p>
                  <w:pPr>
                    <w:jc w:val="center"/>
                    <w:rPr>
                      <w:szCs w:val="21"/>
                    </w:rPr>
                  </w:pPr>
                  <w:r>
                    <w:rPr>
                      <w:rFonts w:hint="eastAsia"/>
                      <w:bCs/>
                      <w:iCs/>
                      <w:szCs w:val="21"/>
                    </w:rPr>
                    <w:t>5</w:t>
                  </w:r>
                  <w:r>
                    <w:rPr>
                      <w:bCs/>
                      <w:iCs/>
                      <w:szCs w:val="21"/>
                    </w:rPr>
                    <w:t>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5</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8</w:t>
                  </w:r>
                </w:p>
              </w:tc>
              <w:tc>
                <w:tcPr>
                  <w:tcW w:w="936" w:type="pct"/>
                  <w:vAlign w:val="center"/>
                </w:tcPr>
                <w:p>
                  <w:pPr>
                    <w:jc w:val="center"/>
                    <w:rPr>
                      <w:szCs w:val="21"/>
                    </w:rPr>
                  </w:pPr>
                  <w:r>
                    <w:rPr>
                      <w:bCs/>
                      <w:iCs/>
                      <w:szCs w:val="21"/>
                    </w:rPr>
                    <w:t>97%</w:t>
                  </w:r>
                  <w:r>
                    <w:rPr>
                      <w:rFonts w:hint="eastAsia"/>
                      <w:bCs/>
                      <w:iCs/>
                      <w:szCs w:val="21"/>
                    </w:rPr>
                    <w:t>酒精</w:t>
                  </w:r>
                </w:p>
              </w:tc>
              <w:tc>
                <w:tcPr>
                  <w:tcW w:w="1072" w:type="pct"/>
                  <w:vAlign w:val="center"/>
                </w:tcPr>
                <w:p>
                  <w:pPr>
                    <w:jc w:val="center"/>
                    <w:rPr>
                      <w:szCs w:val="21"/>
                    </w:rPr>
                  </w:pPr>
                  <w:r>
                    <w:rPr>
                      <w:bCs/>
                      <w:iCs/>
                      <w:szCs w:val="21"/>
                    </w:rPr>
                    <w:t>25</w:t>
                  </w:r>
                  <w:r>
                    <w:rPr>
                      <w:szCs w:val="21"/>
                    </w:rPr>
                    <w:t>kg/</w:t>
                  </w:r>
                  <w:r>
                    <w:rPr>
                      <w:rFonts w:hint="eastAsia"/>
                      <w:szCs w:val="21"/>
                    </w:rPr>
                    <w:t>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15</w:t>
                  </w:r>
                  <w:r>
                    <w:rPr>
                      <w:bCs/>
                      <w:iCs/>
                      <w:szCs w:val="21"/>
                    </w:rPr>
                    <w:t>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15</w:t>
                  </w:r>
                  <w:r>
                    <w:rPr>
                      <w:bCs/>
                      <w:iCs/>
                      <w:szCs w:val="21"/>
                    </w:rPr>
                    <w:t>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4</w:t>
                  </w:r>
                  <w:r>
                    <w:rPr>
                      <w:kern w:val="0"/>
                      <w:szCs w:val="21"/>
                    </w:rPr>
                    <w:t>9</w:t>
                  </w:r>
                </w:p>
              </w:tc>
              <w:tc>
                <w:tcPr>
                  <w:tcW w:w="936" w:type="pct"/>
                  <w:vAlign w:val="center"/>
                </w:tcPr>
                <w:p>
                  <w:pPr>
                    <w:jc w:val="center"/>
                    <w:rPr>
                      <w:szCs w:val="21"/>
                    </w:rPr>
                  </w:pPr>
                  <w:r>
                    <w:rPr>
                      <w:rFonts w:hint="eastAsia"/>
                      <w:bCs/>
                      <w:iCs/>
                      <w:szCs w:val="21"/>
                    </w:rPr>
                    <w:t>水杨酸</w:t>
                  </w:r>
                </w:p>
              </w:tc>
              <w:tc>
                <w:tcPr>
                  <w:tcW w:w="1072" w:type="pct"/>
                  <w:vAlign w:val="center"/>
                </w:tcPr>
                <w:p>
                  <w:pPr>
                    <w:jc w:val="center"/>
                    <w:rPr>
                      <w:szCs w:val="21"/>
                    </w:rPr>
                  </w:pPr>
                  <w:r>
                    <w:rPr>
                      <w:bCs/>
                      <w:iCs/>
                      <w:szCs w:val="21"/>
                    </w:rPr>
                    <w:t>25</w:t>
                  </w:r>
                  <w:r>
                    <w:rPr>
                      <w:szCs w:val="21"/>
                    </w:rPr>
                    <w:t>kg/</w:t>
                  </w:r>
                  <w:r>
                    <w:rPr>
                      <w:rFonts w:hint="eastAsia"/>
                      <w:szCs w:val="21"/>
                    </w:rPr>
                    <w:t>袋</w:t>
                  </w:r>
                </w:p>
              </w:tc>
              <w:tc>
                <w:tcPr>
                  <w:tcW w:w="801" w:type="pct"/>
                  <w:tcBorders>
                    <w:right w:val="single" w:color="auto" w:sz="4" w:space="0"/>
                  </w:tcBorders>
                  <w:shd w:val="clear" w:color="auto" w:fill="auto"/>
                  <w:vAlign w:val="center"/>
                </w:tcPr>
                <w:p>
                  <w:pPr>
                    <w:jc w:val="center"/>
                    <w:rPr>
                      <w:szCs w:val="21"/>
                    </w:rPr>
                  </w:pPr>
                  <w:r>
                    <w:rPr>
                      <w:rFonts w:hint="eastAsia"/>
                      <w:bCs/>
                      <w:iCs/>
                      <w:szCs w:val="21"/>
                    </w:rPr>
                    <w:t>2</w:t>
                  </w:r>
                  <w:r>
                    <w:rPr>
                      <w:bCs/>
                      <w:iCs/>
                      <w:szCs w:val="21"/>
                    </w:rPr>
                    <w:t>00kg</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2</w:t>
                  </w:r>
                  <w:r>
                    <w:rPr>
                      <w:bCs/>
                      <w:iCs/>
                      <w:szCs w:val="21"/>
                    </w:rPr>
                    <w:t>00kg</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0</w:t>
                  </w:r>
                </w:p>
              </w:tc>
              <w:tc>
                <w:tcPr>
                  <w:tcW w:w="936" w:type="pct"/>
                  <w:vAlign w:val="center"/>
                </w:tcPr>
                <w:p>
                  <w:pPr>
                    <w:jc w:val="center"/>
                    <w:rPr>
                      <w:szCs w:val="21"/>
                    </w:rPr>
                  </w:pPr>
                  <w:r>
                    <w:rPr>
                      <w:rFonts w:hint="eastAsia"/>
                      <w:bCs/>
                      <w:iCs/>
                      <w:szCs w:val="21"/>
                    </w:rPr>
                    <w:t>纯化水</w:t>
                  </w:r>
                </w:p>
              </w:tc>
              <w:tc>
                <w:tcPr>
                  <w:tcW w:w="1072" w:type="pct"/>
                  <w:vAlign w:val="center"/>
                </w:tcPr>
                <w:p>
                  <w:pPr>
                    <w:jc w:val="center"/>
                    <w:rPr>
                      <w:szCs w:val="21"/>
                    </w:rPr>
                  </w:pPr>
                  <w:r>
                    <w:rPr>
                      <w:bCs/>
                      <w:iCs/>
                      <w:szCs w:val="21"/>
                    </w:rPr>
                    <w:t>/</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16.02</w:t>
                  </w:r>
                  <w:r>
                    <w:rPr>
                      <w:bCs/>
                      <w:iCs/>
                      <w:szCs w:val="21"/>
                    </w:rPr>
                    <w:t>m</w:t>
                  </w:r>
                  <w:r>
                    <w:rPr>
                      <w:bCs/>
                      <w:iCs/>
                      <w:szCs w:val="21"/>
                      <w:vertAlign w:val="superscript"/>
                    </w:rPr>
                    <w:t>3</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16.02</w:t>
                  </w:r>
                  <w:r>
                    <w:rPr>
                      <w:bCs/>
                      <w:iCs/>
                      <w:szCs w:val="21"/>
                    </w:rPr>
                    <w:t>m</w:t>
                  </w:r>
                  <w:r>
                    <w:rPr>
                      <w:bCs/>
                      <w:iCs/>
                      <w:szCs w:val="21"/>
                      <w:vertAlign w:val="superscript"/>
                    </w:rPr>
                    <w:t>3</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自制</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1</w:t>
                  </w:r>
                </w:p>
              </w:tc>
              <w:tc>
                <w:tcPr>
                  <w:tcW w:w="936" w:type="pct"/>
                  <w:vAlign w:val="center"/>
                </w:tcPr>
                <w:p>
                  <w:pPr>
                    <w:jc w:val="center"/>
                    <w:rPr>
                      <w:szCs w:val="21"/>
                    </w:rPr>
                  </w:pPr>
                  <w:r>
                    <w:rPr>
                      <w:bCs/>
                      <w:iCs/>
                      <w:szCs w:val="21"/>
                    </w:rPr>
                    <w:t>30ml</w:t>
                  </w:r>
                  <w:r>
                    <w:rPr>
                      <w:rFonts w:hint="eastAsia"/>
                      <w:bCs/>
                      <w:iCs/>
                      <w:szCs w:val="21"/>
                    </w:rPr>
                    <w:t>塑料瓶</w:t>
                  </w:r>
                </w:p>
              </w:tc>
              <w:tc>
                <w:tcPr>
                  <w:tcW w:w="1072" w:type="pct"/>
                  <w:vAlign w:val="center"/>
                </w:tcPr>
                <w:p>
                  <w:pPr>
                    <w:jc w:val="center"/>
                    <w:rPr>
                      <w:szCs w:val="21"/>
                    </w:rPr>
                  </w:pPr>
                  <w:r>
                    <w:rPr>
                      <w:bCs/>
                      <w:iCs/>
                      <w:szCs w:val="21"/>
                    </w:rPr>
                    <w:t>30ml/</w:t>
                  </w:r>
                  <w:r>
                    <w:rPr>
                      <w:rFonts w:hint="eastAsia"/>
                      <w:bCs/>
                      <w:iCs/>
                      <w:szCs w:val="21"/>
                    </w:rPr>
                    <w:t>瓶</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15万个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15万个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2</w:t>
                  </w:r>
                </w:p>
              </w:tc>
              <w:tc>
                <w:tcPr>
                  <w:tcW w:w="936" w:type="pct"/>
                  <w:vAlign w:val="center"/>
                </w:tcPr>
                <w:p>
                  <w:pPr>
                    <w:jc w:val="center"/>
                    <w:rPr>
                      <w:szCs w:val="21"/>
                    </w:rPr>
                  </w:pPr>
                  <w:r>
                    <w:rPr>
                      <w:rFonts w:hint="eastAsia"/>
                      <w:bCs/>
                      <w:iCs/>
                      <w:szCs w:val="21"/>
                    </w:rPr>
                    <w:t>包装盒</w:t>
                  </w:r>
                </w:p>
              </w:tc>
              <w:tc>
                <w:tcPr>
                  <w:tcW w:w="1072" w:type="pct"/>
                  <w:vAlign w:val="center"/>
                </w:tcPr>
                <w:p>
                  <w:pPr>
                    <w:jc w:val="center"/>
                    <w:rPr>
                      <w:szCs w:val="21"/>
                    </w:rPr>
                  </w:pPr>
                  <w:r>
                    <w:rPr>
                      <w:bCs/>
                      <w:iCs/>
                      <w:szCs w:val="21"/>
                    </w:rPr>
                    <w:t>50mm×70mm</w:t>
                  </w:r>
                </w:p>
              </w:tc>
              <w:tc>
                <w:tcPr>
                  <w:tcW w:w="801" w:type="pct"/>
                  <w:tcBorders>
                    <w:right w:val="single" w:color="auto" w:sz="4" w:space="0"/>
                  </w:tcBorders>
                  <w:shd w:val="clear" w:color="auto" w:fill="auto"/>
                  <w:vAlign w:val="center"/>
                </w:tcPr>
                <w:p>
                  <w:pPr>
                    <w:jc w:val="center"/>
                    <w:rPr>
                      <w:szCs w:val="21"/>
                    </w:rPr>
                  </w:pPr>
                  <w:r>
                    <w:rPr>
                      <w:rFonts w:hint="eastAsia"/>
                      <w:bCs/>
                      <w:iCs/>
                      <w:szCs w:val="21"/>
                    </w:rPr>
                    <w:t>15万个</w:t>
                  </w:r>
                  <w:r>
                    <w:rPr>
                      <w:szCs w:val="21"/>
                    </w:rPr>
                    <w:t>/a</w:t>
                  </w:r>
                </w:p>
              </w:tc>
              <w:tc>
                <w:tcPr>
                  <w:tcW w:w="714" w:type="pct"/>
                  <w:tcBorders>
                    <w:left w:val="single" w:color="auto" w:sz="4" w:space="0"/>
                  </w:tcBorders>
                  <w:shd w:val="clear" w:color="auto" w:fill="auto"/>
                  <w:vAlign w:val="center"/>
                </w:tcPr>
                <w:p>
                  <w:pPr>
                    <w:jc w:val="center"/>
                    <w:rPr>
                      <w:szCs w:val="21"/>
                    </w:rPr>
                  </w:pPr>
                  <w:r>
                    <w:rPr>
                      <w:rFonts w:hint="eastAsia"/>
                      <w:bCs/>
                      <w:iCs/>
                      <w:szCs w:val="21"/>
                    </w:rPr>
                    <w:t>15万个</w:t>
                  </w:r>
                  <w:r>
                    <w:rPr>
                      <w:szCs w:val="21"/>
                    </w:rPr>
                    <w:t>/a</w:t>
                  </w:r>
                </w:p>
              </w:tc>
              <w:tc>
                <w:tcPr>
                  <w:tcW w:w="624" w:type="pct"/>
                  <w:tcBorders>
                    <w:left w:val="single" w:color="auto" w:sz="4" w:space="0"/>
                    <w:right w:val="single" w:color="auto" w:sz="4" w:space="0"/>
                  </w:tcBorders>
                  <w:vAlign w:val="center"/>
                </w:tcPr>
                <w:p>
                  <w:pPr>
                    <w:jc w:val="center"/>
                    <w:rPr>
                      <w:color w:val="000000"/>
                      <w:szCs w:val="21"/>
                      <w:lang w:val="pt-BR"/>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color w:val="000000"/>
                      <w:szCs w:val="21"/>
                      <w:lang w:val="pt-BR"/>
                    </w:rPr>
                  </w:pPr>
                  <w:r>
                    <w:rPr>
                      <w:rFonts w:hint="eastAsia"/>
                      <w:b/>
                      <w:bCs/>
                      <w:color w:val="000000"/>
                      <w:szCs w:val="21"/>
                      <w:lang w:val="pt-BR"/>
                    </w:rPr>
                    <w:t>在建工程公用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3</w:t>
                  </w:r>
                </w:p>
              </w:tc>
              <w:tc>
                <w:tcPr>
                  <w:tcW w:w="936" w:type="pct"/>
                  <w:vAlign w:val="center"/>
                </w:tcPr>
                <w:p>
                  <w:pPr>
                    <w:jc w:val="center"/>
                    <w:rPr>
                      <w:bCs/>
                      <w:iCs/>
                      <w:szCs w:val="21"/>
                    </w:rPr>
                  </w:pPr>
                  <w:r>
                    <w:rPr>
                      <w:rFonts w:hint="eastAsia"/>
                      <w:bCs/>
                      <w:iCs/>
                      <w:szCs w:val="21"/>
                    </w:rPr>
                    <w:t>包装箱</w:t>
                  </w:r>
                </w:p>
              </w:tc>
              <w:tc>
                <w:tcPr>
                  <w:tcW w:w="1072" w:type="pct"/>
                  <w:vAlign w:val="center"/>
                </w:tcPr>
                <w:p>
                  <w:pPr>
                    <w:jc w:val="center"/>
                    <w:rPr>
                      <w:bCs/>
                      <w:iCs/>
                      <w:szCs w:val="21"/>
                    </w:rPr>
                  </w:pPr>
                  <w:r>
                    <w:rPr>
                      <w:bCs/>
                      <w:iCs/>
                      <w:szCs w:val="21"/>
                    </w:rPr>
                    <w:t>70cm×70cm</w:t>
                  </w:r>
                </w:p>
              </w:tc>
              <w:tc>
                <w:tcPr>
                  <w:tcW w:w="801" w:type="pct"/>
                  <w:tcBorders>
                    <w:right w:val="single" w:color="auto" w:sz="4" w:space="0"/>
                  </w:tcBorders>
                  <w:shd w:val="clear" w:color="auto" w:fill="auto"/>
                  <w:vAlign w:val="center"/>
                </w:tcPr>
                <w:p>
                  <w:pPr>
                    <w:jc w:val="center"/>
                    <w:rPr>
                      <w:bCs/>
                      <w:iCs/>
                      <w:szCs w:val="21"/>
                    </w:rPr>
                  </w:pPr>
                  <w:r>
                    <w:rPr>
                      <w:bCs/>
                      <w:iCs/>
                      <w:szCs w:val="21"/>
                    </w:rPr>
                    <w:t>20.6</w:t>
                  </w:r>
                  <w:r>
                    <w:rPr>
                      <w:rFonts w:hint="eastAsia"/>
                      <w:bCs/>
                      <w:iCs/>
                      <w:szCs w:val="21"/>
                    </w:rPr>
                    <w:t>万个</w:t>
                  </w:r>
                  <w:r>
                    <w:rPr>
                      <w:szCs w:val="21"/>
                    </w:rPr>
                    <w:t>/a</w:t>
                  </w:r>
                </w:p>
              </w:tc>
              <w:tc>
                <w:tcPr>
                  <w:tcW w:w="714" w:type="pct"/>
                  <w:tcBorders>
                    <w:left w:val="single" w:color="auto" w:sz="4" w:space="0"/>
                  </w:tcBorders>
                  <w:shd w:val="clear" w:color="auto" w:fill="auto"/>
                  <w:vAlign w:val="center"/>
                </w:tcPr>
                <w:p>
                  <w:pPr>
                    <w:jc w:val="center"/>
                    <w:rPr>
                      <w:bCs/>
                      <w:iCs/>
                      <w:szCs w:val="21"/>
                    </w:rPr>
                  </w:pPr>
                  <w:r>
                    <w:rPr>
                      <w:bCs/>
                      <w:iCs/>
                      <w:szCs w:val="21"/>
                    </w:rPr>
                    <w:t>20.6</w:t>
                  </w:r>
                  <w:r>
                    <w:rPr>
                      <w:rFonts w:hint="eastAsia"/>
                      <w:bCs/>
                      <w:iCs/>
                      <w:szCs w:val="21"/>
                    </w:rPr>
                    <w:t>万个</w:t>
                  </w:r>
                  <w:r>
                    <w:rPr>
                      <w:szCs w:val="21"/>
                    </w:rPr>
                    <w:t>/a</w:t>
                  </w:r>
                </w:p>
              </w:tc>
              <w:tc>
                <w:tcPr>
                  <w:tcW w:w="624" w:type="pct"/>
                  <w:tcBorders>
                    <w:left w:val="single" w:color="auto" w:sz="4" w:space="0"/>
                    <w:right w:val="single" w:color="auto" w:sz="4" w:space="0"/>
                  </w:tcBorders>
                  <w:vAlign w:val="center"/>
                </w:tcPr>
                <w:p>
                  <w:pPr>
                    <w:jc w:val="center"/>
                    <w:rPr>
                      <w:szCs w:val="21"/>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4</w:t>
                  </w:r>
                </w:p>
              </w:tc>
              <w:tc>
                <w:tcPr>
                  <w:tcW w:w="936" w:type="pct"/>
                  <w:vAlign w:val="center"/>
                </w:tcPr>
                <w:p>
                  <w:pPr>
                    <w:jc w:val="center"/>
                    <w:rPr>
                      <w:bCs/>
                      <w:iCs/>
                      <w:szCs w:val="21"/>
                    </w:rPr>
                  </w:pPr>
                  <w:r>
                    <w:rPr>
                      <w:rFonts w:hint="eastAsia"/>
                      <w:bCs/>
                      <w:iCs/>
                      <w:szCs w:val="21"/>
                    </w:rPr>
                    <w:t>烟膜</w:t>
                  </w:r>
                </w:p>
              </w:tc>
              <w:tc>
                <w:tcPr>
                  <w:tcW w:w="1072" w:type="pct"/>
                  <w:vAlign w:val="center"/>
                </w:tcPr>
                <w:p>
                  <w:pPr>
                    <w:jc w:val="center"/>
                    <w:rPr>
                      <w:bCs/>
                      <w:iCs/>
                      <w:szCs w:val="21"/>
                    </w:rPr>
                  </w:pPr>
                  <w:r>
                    <w:rPr>
                      <w:bCs/>
                      <w:iCs/>
                      <w:szCs w:val="21"/>
                    </w:rPr>
                    <w:t>335*0.3mm</w:t>
                  </w:r>
                  <w:r>
                    <w:rPr>
                      <w:rFonts w:hint="eastAsia"/>
                      <w:bCs/>
                      <w:iCs/>
                      <w:szCs w:val="21"/>
                    </w:rPr>
                    <w:t>厚</w:t>
                  </w:r>
                </w:p>
              </w:tc>
              <w:tc>
                <w:tcPr>
                  <w:tcW w:w="801" w:type="pct"/>
                  <w:tcBorders>
                    <w:right w:val="single" w:color="auto" w:sz="4" w:space="0"/>
                  </w:tcBorders>
                  <w:shd w:val="clear" w:color="auto" w:fill="auto"/>
                  <w:vAlign w:val="center"/>
                </w:tcPr>
                <w:p>
                  <w:pPr>
                    <w:jc w:val="center"/>
                    <w:rPr>
                      <w:bCs/>
                      <w:iCs/>
                      <w:szCs w:val="21"/>
                    </w:rPr>
                  </w:pPr>
                  <w:r>
                    <w:rPr>
                      <w:bCs/>
                      <w:iCs/>
                      <w:szCs w:val="21"/>
                    </w:rPr>
                    <w:t>10t</w:t>
                  </w:r>
                  <w:r>
                    <w:rPr>
                      <w:szCs w:val="21"/>
                    </w:rPr>
                    <w:t>/a</w:t>
                  </w:r>
                </w:p>
              </w:tc>
              <w:tc>
                <w:tcPr>
                  <w:tcW w:w="714" w:type="pct"/>
                  <w:tcBorders>
                    <w:left w:val="single" w:color="auto" w:sz="4" w:space="0"/>
                  </w:tcBorders>
                  <w:shd w:val="clear" w:color="auto" w:fill="auto"/>
                  <w:vAlign w:val="center"/>
                </w:tcPr>
                <w:p>
                  <w:pPr>
                    <w:jc w:val="center"/>
                    <w:rPr>
                      <w:bCs/>
                      <w:iCs/>
                      <w:szCs w:val="21"/>
                    </w:rPr>
                  </w:pPr>
                  <w:r>
                    <w:rPr>
                      <w:bCs/>
                      <w:iCs/>
                      <w:szCs w:val="21"/>
                    </w:rPr>
                    <w:t>10t</w:t>
                  </w:r>
                  <w:r>
                    <w:rPr>
                      <w:szCs w:val="21"/>
                    </w:rPr>
                    <w:t>/a</w:t>
                  </w:r>
                </w:p>
              </w:tc>
              <w:tc>
                <w:tcPr>
                  <w:tcW w:w="624" w:type="pct"/>
                  <w:tcBorders>
                    <w:left w:val="single" w:color="auto" w:sz="4" w:space="0"/>
                    <w:right w:val="single" w:color="auto" w:sz="4" w:space="0"/>
                  </w:tcBorders>
                  <w:vAlign w:val="center"/>
                </w:tcPr>
                <w:p>
                  <w:pPr>
                    <w:jc w:val="center"/>
                    <w:rPr>
                      <w:szCs w:val="21"/>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5</w:t>
                  </w:r>
                </w:p>
              </w:tc>
              <w:tc>
                <w:tcPr>
                  <w:tcW w:w="936" w:type="pct"/>
                  <w:vAlign w:val="center"/>
                </w:tcPr>
                <w:p>
                  <w:pPr>
                    <w:jc w:val="center"/>
                    <w:rPr>
                      <w:bCs/>
                      <w:iCs/>
                      <w:szCs w:val="21"/>
                    </w:rPr>
                  </w:pPr>
                  <w:r>
                    <w:rPr>
                      <w:bCs/>
                      <w:iCs/>
                      <w:szCs w:val="21"/>
                    </w:rPr>
                    <w:t>PET</w:t>
                  </w:r>
                  <w:r>
                    <w:rPr>
                      <w:rFonts w:hint="eastAsia"/>
                      <w:bCs/>
                      <w:iCs/>
                      <w:szCs w:val="21"/>
                    </w:rPr>
                    <w:t>热缩膜</w:t>
                  </w:r>
                </w:p>
              </w:tc>
              <w:tc>
                <w:tcPr>
                  <w:tcW w:w="1072" w:type="pct"/>
                  <w:vAlign w:val="center"/>
                </w:tcPr>
                <w:p>
                  <w:pPr>
                    <w:jc w:val="center"/>
                    <w:rPr>
                      <w:bCs/>
                      <w:iCs/>
                      <w:szCs w:val="21"/>
                    </w:rPr>
                  </w:pPr>
                  <w:r>
                    <w:rPr>
                      <w:rFonts w:hint="eastAsia"/>
                      <w:bCs/>
                      <w:iCs/>
                      <w:szCs w:val="21"/>
                    </w:rPr>
                    <w:t>厚</w:t>
                  </w:r>
                  <w:r>
                    <w:rPr>
                      <w:bCs/>
                      <w:iCs/>
                      <w:szCs w:val="21"/>
                    </w:rPr>
                    <w:t>0.015~0.35mm</w:t>
                  </w:r>
                </w:p>
                <w:p>
                  <w:pPr>
                    <w:jc w:val="center"/>
                    <w:rPr>
                      <w:bCs/>
                      <w:iCs/>
                      <w:szCs w:val="21"/>
                    </w:rPr>
                  </w:pPr>
                  <w:r>
                    <w:rPr>
                      <w:rFonts w:hint="eastAsia"/>
                      <w:bCs/>
                      <w:iCs/>
                      <w:szCs w:val="21"/>
                    </w:rPr>
                    <w:t>宽</w:t>
                  </w:r>
                  <w:r>
                    <w:rPr>
                      <w:bCs/>
                      <w:iCs/>
                      <w:szCs w:val="21"/>
                    </w:rPr>
                    <w:t>0.2m~9m</w:t>
                  </w:r>
                </w:p>
              </w:tc>
              <w:tc>
                <w:tcPr>
                  <w:tcW w:w="801" w:type="pct"/>
                  <w:tcBorders>
                    <w:right w:val="single" w:color="auto" w:sz="4" w:space="0"/>
                  </w:tcBorders>
                  <w:shd w:val="clear" w:color="auto" w:fill="auto"/>
                  <w:vAlign w:val="center"/>
                </w:tcPr>
                <w:p>
                  <w:pPr>
                    <w:jc w:val="center"/>
                    <w:rPr>
                      <w:bCs/>
                      <w:iCs/>
                      <w:szCs w:val="21"/>
                    </w:rPr>
                  </w:pPr>
                  <w:r>
                    <w:rPr>
                      <w:bCs/>
                      <w:iCs/>
                      <w:szCs w:val="21"/>
                    </w:rPr>
                    <w:t>4t</w:t>
                  </w:r>
                  <w:r>
                    <w:rPr>
                      <w:szCs w:val="21"/>
                    </w:rPr>
                    <w:t>/a</w:t>
                  </w:r>
                </w:p>
              </w:tc>
              <w:tc>
                <w:tcPr>
                  <w:tcW w:w="714" w:type="pct"/>
                  <w:tcBorders>
                    <w:left w:val="single" w:color="auto" w:sz="4" w:space="0"/>
                  </w:tcBorders>
                  <w:shd w:val="clear" w:color="auto" w:fill="auto"/>
                  <w:vAlign w:val="center"/>
                </w:tcPr>
                <w:p>
                  <w:pPr>
                    <w:jc w:val="center"/>
                    <w:rPr>
                      <w:bCs/>
                      <w:iCs/>
                      <w:szCs w:val="21"/>
                    </w:rPr>
                  </w:pPr>
                  <w:r>
                    <w:rPr>
                      <w:bCs/>
                      <w:iCs/>
                      <w:szCs w:val="21"/>
                    </w:rPr>
                    <w:t>4t</w:t>
                  </w:r>
                  <w:r>
                    <w:rPr>
                      <w:szCs w:val="21"/>
                    </w:rPr>
                    <w:t>/a</w:t>
                  </w:r>
                </w:p>
              </w:tc>
              <w:tc>
                <w:tcPr>
                  <w:tcW w:w="624" w:type="pct"/>
                  <w:tcBorders>
                    <w:left w:val="single" w:color="auto" w:sz="4" w:space="0"/>
                    <w:right w:val="single" w:color="auto" w:sz="4" w:space="0"/>
                  </w:tcBorders>
                  <w:vAlign w:val="center"/>
                </w:tcPr>
                <w:p>
                  <w:pPr>
                    <w:jc w:val="center"/>
                    <w:rPr>
                      <w:szCs w:val="21"/>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rFonts w:hint="eastAsia"/>
                      <w:kern w:val="0"/>
                      <w:szCs w:val="21"/>
                    </w:rPr>
                    <w:t>5</w:t>
                  </w:r>
                  <w:r>
                    <w:rPr>
                      <w:kern w:val="0"/>
                      <w:szCs w:val="21"/>
                    </w:rPr>
                    <w:t>6</w:t>
                  </w:r>
                </w:p>
              </w:tc>
              <w:tc>
                <w:tcPr>
                  <w:tcW w:w="936" w:type="pct"/>
                  <w:vAlign w:val="center"/>
                </w:tcPr>
                <w:p>
                  <w:pPr>
                    <w:jc w:val="center"/>
                    <w:rPr>
                      <w:bCs/>
                      <w:iCs/>
                      <w:szCs w:val="21"/>
                    </w:rPr>
                  </w:pPr>
                  <w:r>
                    <w:rPr>
                      <w:rFonts w:hint="eastAsia"/>
                      <w:bCs/>
                      <w:iCs/>
                      <w:szCs w:val="21"/>
                    </w:rPr>
                    <w:t>胶带</w:t>
                  </w:r>
                </w:p>
              </w:tc>
              <w:tc>
                <w:tcPr>
                  <w:tcW w:w="1072" w:type="pct"/>
                  <w:vAlign w:val="center"/>
                </w:tcPr>
                <w:p>
                  <w:pPr>
                    <w:jc w:val="center"/>
                    <w:rPr>
                      <w:bCs/>
                      <w:iCs/>
                      <w:szCs w:val="21"/>
                    </w:rPr>
                  </w:pPr>
                  <w:r>
                    <w:rPr>
                      <w:bCs/>
                      <w:iCs/>
                      <w:szCs w:val="21"/>
                    </w:rPr>
                    <w:t>50 mm</w:t>
                  </w:r>
                  <w:r>
                    <w:rPr>
                      <w:rFonts w:hint="eastAsia"/>
                      <w:bCs/>
                      <w:iCs/>
                      <w:szCs w:val="21"/>
                    </w:rPr>
                    <w:t>宽</w:t>
                  </w:r>
                </w:p>
              </w:tc>
              <w:tc>
                <w:tcPr>
                  <w:tcW w:w="801" w:type="pct"/>
                  <w:tcBorders>
                    <w:right w:val="single" w:color="auto" w:sz="4" w:space="0"/>
                  </w:tcBorders>
                  <w:shd w:val="clear" w:color="auto" w:fill="auto"/>
                  <w:vAlign w:val="center"/>
                </w:tcPr>
                <w:p>
                  <w:pPr>
                    <w:jc w:val="center"/>
                    <w:rPr>
                      <w:bCs/>
                      <w:iCs/>
                      <w:szCs w:val="21"/>
                    </w:rPr>
                  </w:pPr>
                  <w:r>
                    <w:rPr>
                      <w:bCs/>
                      <w:iCs/>
                      <w:szCs w:val="21"/>
                    </w:rPr>
                    <w:t>1000</w:t>
                  </w:r>
                  <w:r>
                    <w:rPr>
                      <w:rFonts w:hint="eastAsia"/>
                      <w:bCs/>
                      <w:iCs/>
                      <w:szCs w:val="21"/>
                    </w:rPr>
                    <w:t>卷</w:t>
                  </w:r>
                  <w:r>
                    <w:rPr>
                      <w:szCs w:val="21"/>
                    </w:rPr>
                    <w:t>/a</w:t>
                  </w:r>
                </w:p>
              </w:tc>
              <w:tc>
                <w:tcPr>
                  <w:tcW w:w="714" w:type="pct"/>
                  <w:tcBorders>
                    <w:left w:val="single" w:color="auto" w:sz="4" w:space="0"/>
                  </w:tcBorders>
                  <w:shd w:val="clear" w:color="auto" w:fill="auto"/>
                  <w:vAlign w:val="center"/>
                </w:tcPr>
                <w:p>
                  <w:pPr>
                    <w:jc w:val="center"/>
                    <w:rPr>
                      <w:bCs/>
                      <w:iCs/>
                      <w:szCs w:val="21"/>
                    </w:rPr>
                  </w:pPr>
                  <w:r>
                    <w:rPr>
                      <w:bCs/>
                      <w:iCs/>
                      <w:szCs w:val="21"/>
                    </w:rPr>
                    <w:t>1000</w:t>
                  </w:r>
                  <w:r>
                    <w:rPr>
                      <w:rFonts w:hint="eastAsia"/>
                      <w:bCs/>
                      <w:iCs/>
                      <w:szCs w:val="21"/>
                    </w:rPr>
                    <w:t>卷</w:t>
                  </w:r>
                  <w:r>
                    <w:rPr>
                      <w:szCs w:val="21"/>
                    </w:rPr>
                    <w:t>/a</w:t>
                  </w:r>
                </w:p>
              </w:tc>
              <w:tc>
                <w:tcPr>
                  <w:tcW w:w="624" w:type="pct"/>
                  <w:tcBorders>
                    <w:left w:val="single" w:color="auto" w:sz="4" w:space="0"/>
                    <w:right w:val="single" w:color="auto" w:sz="4" w:space="0"/>
                  </w:tcBorders>
                  <w:vAlign w:val="center"/>
                </w:tcPr>
                <w:p>
                  <w:pPr>
                    <w:jc w:val="center"/>
                    <w:rPr>
                      <w:szCs w:val="21"/>
                    </w:rPr>
                  </w:pPr>
                  <w:r>
                    <w:rPr>
                      <w:rFonts w:hint="eastAsia"/>
                      <w:szCs w:val="21"/>
                    </w:rPr>
                    <w:t>0</w:t>
                  </w:r>
                </w:p>
              </w:tc>
              <w:tc>
                <w:tcPr>
                  <w:tcW w:w="633" w:type="pct"/>
                  <w:tcBorders>
                    <w:left w:val="single" w:color="auto" w:sz="4" w:space="0"/>
                  </w:tcBorders>
                  <w:shd w:val="clear" w:color="auto" w:fill="auto"/>
                  <w:vAlign w:val="center"/>
                </w:tcPr>
                <w:p>
                  <w:pPr>
                    <w:jc w:val="center"/>
                    <w:rPr>
                      <w:color w:val="000000"/>
                      <w:szCs w:val="21"/>
                      <w:lang w:val="pt-BR"/>
                    </w:rPr>
                  </w:pPr>
                  <w:r>
                    <w:rPr>
                      <w:rFonts w:hint="eastAsia"/>
                      <w:color w:val="000000"/>
                      <w:szCs w:val="21"/>
                      <w:lang w:val="pt-BR"/>
                    </w:rPr>
                    <w:t>外购</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7"/>
                  <w:vAlign w:val="center"/>
                </w:tcPr>
                <w:p>
                  <w:pPr>
                    <w:jc w:val="center"/>
                    <w:rPr>
                      <w:b/>
                      <w:bCs/>
                      <w:szCs w:val="21"/>
                    </w:rPr>
                  </w:pPr>
                  <w:r>
                    <w:rPr>
                      <w:rFonts w:hint="eastAsia"/>
                      <w:b/>
                      <w:bCs/>
                      <w:szCs w:val="21"/>
                    </w:rPr>
                    <w:t>资源能源</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kern w:val="0"/>
                      <w:szCs w:val="21"/>
                    </w:rPr>
                    <w:t>57</w:t>
                  </w:r>
                </w:p>
              </w:tc>
              <w:tc>
                <w:tcPr>
                  <w:tcW w:w="936" w:type="pct"/>
                  <w:vAlign w:val="center"/>
                </w:tcPr>
                <w:p>
                  <w:pPr>
                    <w:jc w:val="center"/>
                    <w:rPr>
                      <w:szCs w:val="21"/>
                    </w:rPr>
                  </w:pPr>
                  <w:r>
                    <w:rPr>
                      <w:rFonts w:hint="eastAsia"/>
                      <w:szCs w:val="21"/>
                    </w:rPr>
                    <w:t>水</w:t>
                  </w:r>
                </w:p>
              </w:tc>
              <w:tc>
                <w:tcPr>
                  <w:tcW w:w="1072" w:type="pct"/>
                  <w:vAlign w:val="center"/>
                </w:tcPr>
                <w:p>
                  <w:pPr>
                    <w:jc w:val="center"/>
                    <w:rPr>
                      <w:szCs w:val="21"/>
                    </w:rPr>
                  </w:pPr>
                  <w:r>
                    <w:rPr>
                      <w:rFonts w:hint="eastAsia"/>
                      <w:szCs w:val="21"/>
                    </w:rPr>
                    <w:t>/</w:t>
                  </w:r>
                </w:p>
              </w:tc>
              <w:tc>
                <w:tcPr>
                  <w:tcW w:w="801" w:type="pct"/>
                  <w:tcBorders>
                    <w:right w:val="single" w:color="auto" w:sz="4" w:space="0"/>
                  </w:tcBorders>
                  <w:shd w:val="clear" w:color="auto" w:fill="auto"/>
                  <w:vAlign w:val="center"/>
                </w:tcPr>
                <w:p>
                  <w:pPr>
                    <w:jc w:val="center"/>
                    <w:rPr>
                      <w:szCs w:val="21"/>
                    </w:rPr>
                  </w:pPr>
                  <w:r>
                    <w:rPr>
                      <w:szCs w:val="21"/>
                    </w:rPr>
                    <w:t>905t/a</w:t>
                  </w:r>
                </w:p>
              </w:tc>
              <w:tc>
                <w:tcPr>
                  <w:tcW w:w="714" w:type="pct"/>
                  <w:tcBorders>
                    <w:left w:val="single" w:color="auto" w:sz="4" w:space="0"/>
                  </w:tcBorders>
                  <w:vAlign w:val="center"/>
                </w:tcPr>
                <w:p>
                  <w:pPr>
                    <w:jc w:val="center"/>
                    <w:rPr>
                      <w:szCs w:val="21"/>
                    </w:rPr>
                  </w:pPr>
                  <w:r>
                    <w:rPr>
                      <w:szCs w:val="21"/>
                    </w:rPr>
                    <w:t>1106.65t/a</w:t>
                  </w:r>
                </w:p>
              </w:tc>
              <w:tc>
                <w:tcPr>
                  <w:tcW w:w="624" w:type="pct"/>
                  <w:tcBorders>
                    <w:left w:val="single" w:color="auto" w:sz="4" w:space="0"/>
                    <w:right w:val="single" w:color="auto" w:sz="4" w:space="0"/>
                  </w:tcBorders>
                  <w:vAlign w:val="center"/>
                </w:tcPr>
                <w:p>
                  <w:pPr>
                    <w:jc w:val="center"/>
                    <w:rPr>
                      <w:szCs w:val="21"/>
                    </w:rPr>
                  </w:pPr>
                  <w:r>
                    <w:rPr>
                      <w:szCs w:val="21"/>
                    </w:rPr>
                    <w:t>+</w:t>
                  </w:r>
                  <w:r>
                    <w:rPr>
                      <w:rFonts w:hint="eastAsia"/>
                      <w:szCs w:val="21"/>
                    </w:rPr>
                    <w:t>2</w:t>
                  </w:r>
                  <w:r>
                    <w:rPr>
                      <w:szCs w:val="21"/>
                    </w:rPr>
                    <w:t>01.65t/a</w:t>
                  </w:r>
                </w:p>
              </w:tc>
              <w:tc>
                <w:tcPr>
                  <w:tcW w:w="633" w:type="pct"/>
                  <w:tcBorders>
                    <w:left w:val="single" w:color="auto" w:sz="4" w:space="0"/>
                  </w:tcBorders>
                  <w:vAlign w:val="center"/>
                </w:tcPr>
                <w:p>
                  <w:pPr>
                    <w:jc w:val="center"/>
                    <w:rPr>
                      <w:szCs w:val="21"/>
                    </w:rPr>
                  </w:pPr>
                  <w:r>
                    <w:rPr>
                      <w:rFonts w:hint="eastAsia"/>
                      <w:szCs w:val="21"/>
                    </w:rPr>
                    <w:t>集聚区统一供水</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0" w:type="pct"/>
                  <w:vAlign w:val="center"/>
                </w:tcPr>
                <w:p>
                  <w:pPr>
                    <w:contextualSpacing/>
                    <w:jc w:val="center"/>
                    <w:textAlignment w:val="baseline"/>
                    <w:rPr>
                      <w:kern w:val="0"/>
                      <w:szCs w:val="21"/>
                    </w:rPr>
                  </w:pPr>
                  <w:r>
                    <w:rPr>
                      <w:kern w:val="0"/>
                      <w:szCs w:val="21"/>
                    </w:rPr>
                    <w:t>58</w:t>
                  </w:r>
                </w:p>
              </w:tc>
              <w:tc>
                <w:tcPr>
                  <w:tcW w:w="936" w:type="pct"/>
                  <w:vAlign w:val="center"/>
                </w:tcPr>
                <w:p>
                  <w:pPr>
                    <w:jc w:val="center"/>
                    <w:rPr>
                      <w:szCs w:val="21"/>
                    </w:rPr>
                  </w:pPr>
                  <w:r>
                    <w:rPr>
                      <w:rFonts w:hint="eastAsia"/>
                      <w:szCs w:val="21"/>
                    </w:rPr>
                    <w:t>电</w:t>
                  </w:r>
                </w:p>
              </w:tc>
              <w:tc>
                <w:tcPr>
                  <w:tcW w:w="1072" w:type="pct"/>
                  <w:vAlign w:val="center"/>
                </w:tcPr>
                <w:p>
                  <w:pPr>
                    <w:jc w:val="center"/>
                    <w:rPr>
                      <w:szCs w:val="21"/>
                    </w:rPr>
                  </w:pPr>
                  <w:r>
                    <w:rPr>
                      <w:rFonts w:hint="eastAsia"/>
                      <w:szCs w:val="21"/>
                    </w:rPr>
                    <w:t>/</w:t>
                  </w:r>
                </w:p>
              </w:tc>
              <w:tc>
                <w:tcPr>
                  <w:tcW w:w="801" w:type="pct"/>
                  <w:tcBorders>
                    <w:right w:val="single" w:color="auto" w:sz="4" w:space="0"/>
                  </w:tcBorders>
                  <w:vAlign w:val="center"/>
                </w:tcPr>
                <w:p>
                  <w:pPr>
                    <w:jc w:val="center"/>
                    <w:rPr>
                      <w:szCs w:val="21"/>
                    </w:rPr>
                  </w:pPr>
                  <w:r>
                    <w:rPr>
                      <w:szCs w:val="21"/>
                      <w:lang w:val="pt-BR"/>
                    </w:rPr>
                    <w:t>60</w:t>
                  </w:r>
                  <w:r>
                    <w:rPr>
                      <w:rFonts w:hint="eastAsia"/>
                      <w:szCs w:val="21"/>
                      <w:lang w:val="pt-BR"/>
                    </w:rPr>
                    <w:t>万kW</w:t>
                  </w:r>
                  <w:r>
                    <w:rPr>
                      <w:szCs w:val="21"/>
                      <w:lang w:val="pt-BR"/>
                    </w:rPr>
                    <w:t>·h</w:t>
                  </w:r>
                  <w:r>
                    <w:rPr>
                      <w:rFonts w:hint="eastAsia"/>
                      <w:szCs w:val="21"/>
                      <w:lang w:val="pt-BR"/>
                    </w:rPr>
                    <w:t>/a</w:t>
                  </w:r>
                </w:p>
              </w:tc>
              <w:tc>
                <w:tcPr>
                  <w:tcW w:w="714" w:type="pct"/>
                  <w:tcBorders>
                    <w:left w:val="single" w:color="auto" w:sz="4" w:space="0"/>
                  </w:tcBorders>
                  <w:vAlign w:val="center"/>
                </w:tcPr>
                <w:p>
                  <w:pPr>
                    <w:jc w:val="center"/>
                    <w:rPr>
                      <w:szCs w:val="21"/>
                    </w:rPr>
                  </w:pPr>
                  <w:r>
                    <w:rPr>
                      <w:szCs w:val="21"/>
                      <w:lang w:val="pt-BR"/>
                    </w:rPr>
                    <w:t>67</w:t>
                  </w:r>
                  <w:r>
                    <w:rPr>
                      <w:rFonts w:hint="eastAsia"/>
                      <w:szCs w:val="21"/>
                      <w:lang w:val="pt-BR"/>
                    </w:rPr>
                    <w:t>万kW</w:t>
                  </w:r>
                  <w:r>
                    <w:rPr>
                      <w:szCs w:val="21"/>
                      <w:lang w:val="pt-BR"/>
                    </w:rPr>
                    <w:t>·h</w:t>
                  </w:r>
                  <w:r>
                    <w:rPr>
                      <w:rFonts w:hint="eastAsia"/>
                      <w:szCs w:val="21"/>
                      <w:lang w:val="pt-BR"/>
                    </w:rPr>
                    <w:t>/a</w:t>
                  </w:r>
                </w:p>
              </w:tc>
              <w:tc>
                <w:tcPr>
                  <w:tcW w:w="624" w:type="pct"/>
                  <w:tcBorders>
                    <w:left w:val="single" w:color="auto" w:sz="4" w:space="0"/>
                    <w:right w:val="single" w:color="auto" w:sz="4" w:space="0"/>
                  </w:tcBorders>
                  <w:vAlign w:val="center"/>
                </w:tcPr>
                <w:p>
                  <w:pPr>
                    <w:jc w:val="center"/>
                    <w:rPr>
                      <w:szCs w:val="21"/>
                    </w:rPr>
                  </w:pPr>
                  <w:r>
                    <w:rPr>
                      <w:szCs w:val="21"/>
                      <w:lang w:val="pt-BR"/>
                    </w:rPr>
                    <w:t>+7</w:t>
                  </w:r>
                  <w:r>
                    <w:rPr>
                      <w:rFonts w:hint="eastAsia"/>
                      <w:szCs w:val="21"/>
                      <w:lang w:val="pt-BR"/>
                    </w:rPr>
                    <w:t>万kW</w:t>
                  </w:r>
                  <w:r>
                    <w:rPr>
                      <w:szCs w:val="21"/>
                      <w:lang w:val="pt-BR"/>
                    </w:rPr>
                    <w:t>·h</w:t>
                  </w:r>
                  <w:r>
                    <w:rPr>
                      <w:rFonts w:hint="eastAsia"/>
                      <w:szCs w:val="21"/>
                      <w:lang w:val="pt-BR"/>
                    </w:rPr>
                    <w:t>/a</w:t>
                  </w:r>
                </w:p>
              </w:tc>
              <w:tc>
                <w:tcPr>
                  <w:tcW w:w="633" w:type="pct"/>
                  <w:tcBorders>
                    <w:left w:val="single" w:color="auto" w:sz="4" w:space="0"/>
                  </w:tcBorders>
                  <w:vAlign w:val="center"/>
                </w:tcPr>
                <w:p>
                  <w:pPr>
                    <w:jc w:val="center"/>
                    <w:rPr>
                      <w:szCs w:val="21"/>
                    </w:rPr>
                  </w:pPr>
                  <w:r>
                    <w:rPr>
                      <w:rFonts w:hint="eastAsia"/>
                      <w:szCs w:val="21"/>
                    </w:rPr>
                    <w:t>集聚区统一供电</w:t>
                  </w:r>
                </w:p>
              </w:tc>
            </w:tr>
          </w:tbl>
          <w:p>
            <w:pPr>
              <w:adjustRightInd w:val="0"/>
              <w:snapToGrid w:val="0"/>
              <w:spacing w:line="460" w:lineRule="exact"/>
              <w:ind w:firstLine="480" w:firstLineChars="200"/>
              <w:rPr>
                <w:bCs/>
                <w:color w:val="000000"/>
                <w:sz w:val="24"/>
              </w:rPr>
            </w:pPr>
            <w:r>
              <w:rPr>
                <w:rFonts w:hint="eastAsia"/>
                <w:bCs/>
                <w:color w:val="000000"/>
                <w:sz w:val="24"/>
              </w:rPr>
              <w:t>对于化学原料，应明确理化性质见下表。</w:t>
            </w:r>
          </w:p>
          <w:p>
            <w:pPr>
              <w:adjustRightInd w:val="0"/>
              <w:snapToGrid w:val="0"/>
              <w:spacing w:line="460" w:lineRule="exact"/>
              <w:ind w:firstLine="480" w:firstLineChars="200"/>
              <w:rPr>
                <w:rFonts w:eastAsia="黑体"/>
                <w:color w:val="000000"/>
                <w:sz w:val="24"/>
                <w:lang w:val="pt-BR"/>
              </w:rPr>
            </w:pPr>
            <w:r>
              <w:rPr>
                <w:rFonts w:hint="eastAsia" w:eastAsia="黑体"/>
                <w:color w:val="000000"/>
                <w:sz w:val="24"/>
                <w:lang w:val="pt-BR"/>
              </w:rPr>
              <w:t>表</w:t>
            </w:r>
            <w:r>
              <w:rPr>
                <w:rFonts w:eastAsia="黑体"/>
                <w:bCs/>
                <w:color w:val="000000"/>
                <w:sz w:val="24"/>
              </w:rPr>
              <w:t>14</w:t>
            </w:r>
            <w:r>
              <w:rPr>
                <w:rFonts w:eastAsia="黑体"/>
                <w:color w:val="000000"/>
                <w:sz w:val="24"/>
                <w:lang w:val="pt-BR"/>
              </w:rPr>
              <w:t xml:space="preserve">             </w:t>
            </w:r>
            <w:r>
              <w:rPr>
                <w:rFonts w:hint="eastAsia" w:eastAsia="黑体"/>
                <w:color w:val="000000"/>
                <w:sz w:val="24"/>
                <w:lang w:val="pt-BR"/>
              </w:rPr>
              <w:t>本项目主要原辅材料理化性质</w:t>
            </w:r>
          </w:p>
          <w:tbl>
            <w:tblPr>
              <w:tblStyle w:val="16"/>
              <w:tblW w:w="7945" w:type="dxa"/>
              <w:jc w:val="center"/>
              <w:tblBorders>
                <w:top w:val="single" w:color="auto" w:sz="8"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46"/>
              <w:gridCol w:w="1417"/>
              <w:gridCol w:w="5682"/>
            </w:tblGrid>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2" w:type="pct"/>
                  <w:vAlign w:val="center"/>
                </w:tcPr>
                <w:p>
                  <w:pPr>
                    <w:jc w:val="center"/>
                    <w:rPr>
                      <w:b/>
                      <w:color w:val="000000"/>
                      <w:szCs w:val="21"/>
                    </w:rPr>
                  </w:pPr>
                  <w:r>
                    <w:rPr>
                      <w:rFonts w:hint="eastAsia"/>
                      <w:b/>
                      <w:color w:val="000000"/>
                      <w:szCs w:val="21"/>
                      <w:lang w:val="pt-BR"/>
                    </w:rPr>
                    <w:t>序号</w:t>
                  </w:r>
                </w:p>
              </w:tc>
              <w:tc>
                <w:tcPr>
                  <w:tcW w:w="892" w:type="pct"/>
                  <w:vAlign w:val="center"/>
                </w:tcPr>
                <w:p>
                  <w:pPr>
                    <w:jc w:val="center"/>
                    <w:rPr>
                      <w:b/>
                      <w:color w:val="000000"/>
                      <w:szCs w:val="21"/>
                    </w:rPr>
                  </w:pPr>
                  <w:r>
                    <w:rPr>
                      <w:rFonts w:hint="eastAsia"/>
                      <w:b/>
                      <w:color w:val="000000"/>
                      <w:szCs w:val="21"/>
                    </w:rPr>
                    <w:t>原料名称</w:t>
                  </w:r>
                </w:p>
              </w:tc>
              <w:tc>
                <w:tcPr>
                  <w:tcW w:w="3575" w:type="pct"/>
                  <w:vAlign w:val="center"/>
                </w:tcPr>
                <w:p>
                  <w:pPr>
                    <w:jc w:val="center"/>
                    <w:rPr>
                      <w:b/>
                      <w:color w:val="000000"/>
                      <w:szCs w:val="21"/>
                    </w:rPr>
                  </w:pPr>
                  <w:r>
                    <w:rPr>
                      <w:rFonts w:hint="eastAsia"/>
                      <w:b/>
                      <w:color w:val="000000"/>
                      <w:szCs w:val="21"/>
                    </w:rPr>
                    <w:t>性质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2" w:type="pct"/>
                  <w:vAlign w:val="center"/>
                </w:tcPr>
                <w:p>
                  <w:pPr>
                    <w:jc w:val="center"/>
                    <w:textAlignment w:val="baseline"/>
                    <w:rPr>
                      <w:color w:val="000000"/>
                      <w:szCs w:val="21"/>
                    </w:rPr>
                  </w:pPr>
                  <w:r>
                    <w:rPr>
                      <w:rFonts w:hint="eastAsia"/>
                      <w:color w:val="000000"/>
                      <w:szCs w:val="21"/>
                    </w:rPr>
                    <w:t>1</w:t>
                  </w:r>
                </w:p>
              </w:tc>
              <w:tc>
                <w:tcPr>
                  <w:tcW w:w="892" w:type="pct"/>
                  <w:vAlign w:val="center"/>
                </w:tcPr>
                <w:p>
                  <w:pPr>
                    <w:jc w:val="center"/>
                    <w:rPr>
                      <w:color w:val="000000"/>
                      <w:szCs w:val="21"/>
                      <w:highlight w:val="yellow"/>
                    </w:rPr>
                  </w:pPr>
                  <w:r>
                    <w:rPr>
                      <w:rFonts w:hint="eastAsia"/>
                      <w:szCs w:val="21"/>
                    </w:rPr>
                    <w:t>无纺布</w:t>
                  </w:r>
                </w:p>
              </w:tc>
              <w:tc>
                <w:tcPr>
                  <w:tcW w:w="3575" w:type="pct"/>
                  <w:vAlign w:val="center"/>
                </w:tcPr>
                <w:p>
                  <w:pPr>
                    <w:adjustRightInd w:val="0"/>
                    <w:jc w:val="center"/>
                    <w:rPr>
                      <w:color w:val="000000"/>
                      <w:szCs w:val="21"/>
                      <w:lang w:val="pt-BR"/>
                    </w:rPr>
                  </w:pPr>
                  <w:r>
                    <w:rPr>
                      <w:rFonts w:hint="eastAsia"/>
                      <w:color w:val="000000"/>
                      <w:szCs w:val="21"/>
                      <w:lang w:val="pt-BR"/>
                    </w:rPr>
                    <w:t>无纺布又称不织布，是由定向的或随机的纤维而构成。因具有布的外观和某些性能而称其为布。多采用聚丙烯（P</w:t>
                  </w:r>
                  <w:r>
                    <w:rPr>
                      <w:color w:val="000000"/>
                      <w:szCs w:val="21"/>
                      <w:lang w:val="pt-BR"/>
                    </w:rPr>
                    <w:t>P</w:t>
                  </w:r>
                  <w:r>
                    <w:rPr>
                      <w:rFonts w:hint="eastAsia"/>
                      <w:color w:val="000000"/>
                      <w:szCs w:val="21"/>
                      <w:lang w:val="pt-BR"/>
                    </w:rPr>
                    <w:t>材质）粒料为原料，经高温熔融、喷丝、铺纲、热压卷取连续一步法生产而成。</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2" w:type="pct"/>
                  <w:vAlign w:val="center"/>
                </w:tcPr>
                <w:p>
                  <w:pPr>
                    <w:jc w:val="center"/>
                    <w:textAlignment w:val="baseline"/>
                    <w:rPr>
                      <w:color w:val="000000"/>
                      <w:szCs w:val="21"/>
                    </w:rPr>
                  </w:pPr>
                  <w:r>
                    <w:rPr>
                      <w:rFonts w:hint="eastAsia"/>
                      <w:color w:val="000000"/>
                      <w:szCs w:val="21"/>
                    </w:rPr>
                    <w:t>2</w:t>
                  </w:r>
                </w:p>
              </w:tc>
              <w:tc>
                <w:tcPr>
                  <w:tcW w:w="892" w:type="pct"/>
                  <w:vAlign w:val="center"/>
                </w:tcPr>
                <w:p>
                  <w:pPr>
                    <w:jc w:val="center"/>
                    <w:rPr>
                      <w:color w:val="000000"/>
                      <w:szCs w:val="21"/>
                      <w:highlight w:val="yellow"/>
                    </w:rPr>
                  </w:pPr>
                  <w:r>
                    <w:rPr>
                      <w:rFonts w:hint="eastAsia"/>
                      <w:szCs w:val="21"/>
                    </w:rPr>
                    <w:t>熔喷布</w:t>
                  </w:r>
                </w:p>
              </w:tc>
              <w:tc>
                <w:tcPr>
                  <w:tcW w:w="3575" w:type="pct"/>
                  <w:vAlign w:val="center"/>
                </w:tcPr>
                <w:p>
                  <w:pPr>
                    <w:adjustRightInd w:val="0"/>
                    <w:jc w:val="center"/>
                    <w:rPr>
                      <w:color w:val="000000"/>
                      <w:szCs w:val="21"/>
                      <w:lang w:val="pt-BR"/>
                    </w:rPr>
                  </w:pPr>
                  <w:r>
                    <w:rPr>
                      <w:rFonts w:hint="eastAsia"/>
                      <w:color w:val="000000"/>
                      <w:szCs w:val="21"/>
                      <w:lang w:val="pt-BR"/>
                    </w:rPr>
                    <w:t>熔喷布是口罩最核心的材料，熔喷布主要以聚丙烯为主要原料，纤维直径可以达到1</w:t>
                  </w:r>
                  <w:r>
                    <w:rPr>
                      <w:rFonts w:hint="eastAsia" w:ascii="宋体" w:hAnsi="宋体"/>
                      <w:color w:val="000000"/>
                      <w:szCs w:val="21"/>
                      <w:lang w:val="pt-BR"/>
                    </w:rPr>
                    <w:t>～</w:t>
                  </w:r>
                  <w:r>
                    <w:rPr>
                      <w:rFonts w:hint="eastAsia"/>
                      <w:color w:val="000000"/>
                      <w:szCs w:val="21"/>
                      <w:lang w:val="pt-BR"/>
                    </w:rPr>
                    <w:t>5微米。空隙多、结构蓬松、抗褶皱能力好，具有独特毛细结构的超细纤维增加单位面积纤维的数量和表面积，从而使熔喷布具有很好的过滤性、屏蔽型、绝热性和吸油性。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2" w:type="pct"/>
                  <w:vAlign w:val="center"/>
                </w:tcPr>
                <w:p>
                  <w:pPr>
                    <w:jc w:val="center"/>
                    <w:textAlignment w:val="baseline"/>
                    <w:rPr>
                      <w:color w:val="000000"/>
                      <w:szCs w:val="21"/>
                    </w:rPr>
                  </w:pPr>
                  <w:r>
                    <w:rPr>
                      <w:rFonts w:hint="eastAsia"/>
                      <w:color w:val="000000"/>
                      <w:szCs w:val="21"/>
                    </w:rPr>
                    <w:t>3</w:t>
                  </w:r>
                </w:p>
              </w:tc>
              <w:tc>
                <w:tcPr>
                  <w:tcW w:w="892" w:type="pct"/>
                  <w:vAlign w:val="center"/>
                </w:tcPr>
                <w:p>
                  <w:pPr>
                    <w:jc w:val="center"/>
                    <w:rPr>
                      <w:color w:val="000000"/>
                      <w:szCs w:val="21"/>
                      <w:highlight w:val="yellow"/>
                    </w:rPr>
                  </w:pPr>
                  <w:r>
                    <w:rPr>
                      <w:rFonts w:hint="eastAsia"/>
                      <w:szCs w:val="21"/>
                    </w:rPr>
                    <w:t>环氧乙烷</w:t>
                  </w:r>
                </w:p>
              </w:tc>
              <w:tc>
                <w:tcPr>
                  <w:tcW w:w="3575" w:type="pct"/>
                  <w:vAlign w:val="center"/>
                </w:tcPr>
                <w:p>
                  <w:pPr>
                    <w:adjustRightInd w:val="0"/>
                    <w:jc w:val="center"/>
                    <w:rPr>
                      <w:color w:val="000000"/>
                      <w:szCs w:val="21"/>
                      <w:lang w:val="pt-BR"/>
                    </w:rPr>
                  </w:pPr>
                  <w:r>
                    <w:rPr>
                      <w:rFonts w:hint="eastAsia"/>
                      <w:color w:val="000000"/>
                      <w:szCs w:val="21"/>
                      <w:lang w:val="pt-BR"/>
                    </w:rPr>
                    <w:t>无色气体，是有毒致癌物质，有特征气味，熔点为-</w:t>
                  </w:r>
                  <w:r>
                    <w:rPr>
                      <w:color w:val="000000"/>
                      <w:szCs w:val="21"/>
                      <w:lang w:val="pt-BR"/>
                    </w:rPr>
                    <w:t>112.2</w:t>
                  </w:r>
                  <w:r>
                    <w:rPr>
                      <w:rFonts w:hint="eastAsia"/>
                      <w:color w:val="000000"/>
                      <w:szCs w:val="21"/>
                      <w:lang w:val="pt-BR"/>
                    </w:rPr>
                    <w:t>℃，沸点为1</w:t>
                  </w:r>
                  <w:r>
                    <w:rPr>
                      <w:color w:val="000000"/>
                      <w:szCs w:val="21"/>
                      <w:lang w:val="pt-BR"/>
                    </w:rPr>
                    <w:t>0.8</w:t>
                  </w:r>
                  <w:r>
                    <w:rPr>
                      <w:rFonts w:hint="eastAsia"/>
                      <w:color w:val="000000"/>
                      <w:szCs w:val="21"/>
                      <w:lang w:val="pt-BR"/>
                    </w:rPr>
                    <w:t>℃，相对密度（水=</w:t>
                  </w:r>
                  <w:r>
                    <w:rPr>
                      <w:color w:val="000000"/>
                      <w:szCs w:val="21"/>
                      <w:lang w:val="pt-BR"/>
                    </w:rPr>
                    <w:t>1</w:t>
                  </w:r>
                  <w:r>
                    <w:rPr>
                      <w:rFonts w:hint="eastAsia"/>
                      <w:color w:val="000000"/>
                      <w:szCs w:val="21"/>
                      <w:lang w:val="pt-BR"/>
                    </w:rPr>
                    <w:t>）为0</w:t>
                  </w:r>
                  <w:r>
                    <w:rPr>
                      <w:color w:val="000000"/>
                      <w:szCs w:val="21"/>
                      <w:lang w:val="pt-BR"/>
                    </w:rPr>
                    <w:t>.8711</w:t>
                  </w:r>
                  <w:r>
                    <w:rPr>
                      <w:rFonts w:hint="eastAsia"/>
                      <w:color w:val="000000"/>
                      <w:szCs w:val="21"/>
                      <w:lang w:val="pt-BR"/>
                    </w:rPr>
                    <w:t>，折射率为1</w:t>
                  </w:r>
                  <w:r>
                    <w:rPr>
                      <w:color w:val="000000"/>
                      <w:szCs w:val="21"/>
                      <w:lang w:val="pt-BR"/>
                    </w:rPr>
                    <w:t>.3614</w:t>
                  </w:r>
                  <w:r>
                    <w:rPr>
                      <w:rFonts w:hint="eastAsia"/>
                      <w:color w:val="000000"/>
                      <w:szCs w:val="21"/>
                      <w:lang w:val="pt-BR"/>
                    </w:rPr>
                    <w:t>（4℃），易燃易爆，可以与水以任意比例互溶，能与许多化合物发生开环加成反应。</w:t>
                  </w:r>
                </w:p>
              </w:tc>
            </w:tr>
          </w:tbl>
          <w:p>
            <w:pPr>
              <w:adjustRightInd w:val="0"/>
              <w:snapToGrid w:val="0"/>
              <w:spacing w:line="460" w:lineRule="exact"/>
              <w:ind w:firstLine="482" w:firstLineChars="200"/>
              <w:rPr>
                <w:b/>
                <w:color w:val="000000"/>
                <w:sz w:val="24"/>
              </w:rPr>
            </w:pPr>
            <w:r>
              <w:rPr>
                <w:rFonts w:hint="eastAsia"/>
                <w:b/>
                <w:color w:val="000000"/>
                <w:sz w:val="24"/>
              </w:rPr>
              <w:t>6</w:t>
            </w:r>
            <w:r>
              <w:rPr>
                <w:b/>
                <w:color w:val="000000"/>
                <w:sz w:val="24"/>
              </w:rPr>
              <w:t>、</w:t>
            </w:r>
            <w:r>
              <w:rPr>
                <w:rFonts w:hint="eastAsia"/>
                <w:b/>
                <w:color w:val="000000"/>
                <w:sz w:val="24"/>
              </w:rPr>
              <w:t>项目水平衡图</w:t>
            </w: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jc w:val="center"/>
              <w:rPr>
                <w:rFonts w:eastAsia="黑体"/>
                <w:bCs/>
                <w:color w:val="000000"/>
                <w:sz w:val="24"/>
              </w:rPr>
            </w:pPr>
            <w:r>
              <w:object>
                <v:shape id="_x0000_i1025" o:spt="75" type="#_x0000_t75" style="height:175.5pt;width:382.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adjustRightInd w:val="0"/>
              <w:snapToGrid w:val="0"/>
              <w:jc w:val="center"/>
              <w:rPr>
                <w:b/>
                <w:color w:val="000000"/>
                <w:sz w:val="24"/>
              </w:rPr>
            </w:pPr>
            <w:r>
              <w:rPr>
                <w:rFonts w:hint="eastAsia" w:eastAsia="黑体"/>
                <w:bCs/>
                <w:color w:val="000000"/>
                <w:sz w:val="24"/>
              </w:rPr>
              <w:t>图</w:t>
            </w:r>
            <w:r>
              <w:rPr>
                <w:rFonts w:eastAsia="黑体"/>
                <w:bCs/>
                <w:color w:val="000000"/>
                <w:sz w:val="24"/>
              </w:rPr>
              <w:t xml:space="preserve">2      </w:t>
            </w:r>
            <w:r>
              <w:rPr>
                <w:rFonts w:hint="eastAsia" w:eastAsia="黑体"/>
                <w:bCs/>
                <w:color w:val="000000"/>
                <w:sz w:val="24"/>
              </w:rPr>
              <w:t>本项目水平衡图</w:t>
            </w:r>
            <w:r>
              <w:rPr>
                <w:rFonts w:eastAsia="黑体"/>
                <w:bCs/>
                <w:color w:val="000000"/>
                <w:sz w:val="24"/>
              </w:rPr>
              <w:t xml:space="preserve">        </w:t>
            </w:r>
            <w:r>
              <w:rPr>
                <w:rFonts w:hint="eastAsia" w:eastAsia="黑体"/>
                <w:bCs/>
                <w:color w:val="000000"/>
                <w:sz w:val="24"/>
              </w:rPr>
              <w:t>单位：m</w:t>
            </w:r>
            <w:r>
              <w:rPr>
                <w:rFonts w:hint="eastAsia" w:eastAsia="黑体"/>
                <w:bCs/>
                <w:color w:val="000000"/>
                <w:sz w:val="24"/>
                <w:vertAlign w:val="superscript"/>
              </w:rPr>
              <w:t>3</w:t>
            </w:r>
            <w:r>
              <w:rPr>
                <w:rFonts w:eastAsia="黑体"/>
                <w:bCs/>
                <w:color w:val="000000"/>
                <w:sz w:val="24"/>
              </w:rPr>
              <w:t>/d</w:t>
            </w:r>
          </w:p>
          <w:p>
            <w:pPr>
              <w:adjustRightInd w:val="0"/>
              <w:snapToGrid w:val="0"/>
              <w:jc w:val="center"/>
              <w:rPr>
                <w:rFonts w:eastAsia="黑体"/>
                <w:bCs/>
                <w:color w:val="000000"/>
                <w:sz w:val="24"/>
              </w:rPr>
            </w:pPr>
            <w:r>
              <w:object>
                <v:shape id="_x0000_i1026" o:spt="75" type="#_x0000_t75" style="height:267pt;width:372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adjustRightInd w:val="0"/>
              <w:snapToGrid w:val="0"/>
              <w:jc w:val="center"/>
              <w:rPr>
                <w:b/>
                <w:color w:val="000000"/>
                <w:sz w:val="24"/>
              </w:rPr>
            </w:pPr>
            <w:r>
              <w:rPr>
                <w:rFonts w:hint="eastAsia" w:eastAsia="黑体"/>
                <w:bCs/>
                <w:color w:val="000000"/>
                <w:sz w:val="24"/>
              </w:rPr>
              <w:t>图</w:t>
            </w:r>
            <w:r>
              <w:rPr>
                <w:rFonts w:eastAsia="黑体"/>
                <w:bCs/>
                <w:color w:val="000000"/>
                <w:sz w:val="24"/>
              </w:rPr>
              <w:t xml:space="preserve">3    </w:t>
            </w:r>
            <w:r>
              <w:rPr>
                <w:rFonts w:hint="eastAsia" w:eastAsia="黑体"/>
                <w:bCs/>
                <w:color w:val="000000"/>
                <w:sz w:val="24"/>
              </w:rPr>
              <w:t>本项目建成后全厂水平衡图</w:t>
            </w:r>
            <w:r>
              <w:rPr>
                <w:rFonts w:eastAsia="黑体"/>
                <w:bCs/>
                <w:color w:val="000000"/>
                <w:sz w:val="24"/>
              </w:rPr>
              <w:t xml:space="preserve">    </w:t>
            </w:r>
            <w:r>
              <w:rPr>
                <w:rFonts w:hint="eastAsia" w:eastAsia="黑体"/>
                <w:bCs/>
                <w:color w:val="000000"/>
                <w:sz w:val="24"/>
              </w:rPr>
              <w:t>单位：m</w:t>
            </w:r>
            <w:r>
              <w:rPr>
                <w:rFonts w:hint="eastAsia" w:eastAsia="黑体"/>
                <w:bCs/>
                <w:color w:val="000000"/>
                <w:sz w:val="24"/>
                <w:vertAlign w:val="superscript"/>
              </w:rPr>
              <w:t>3</w:t>
            </w:r>
            <w:r>
              <w:rPr>
                <w:rFonts w:eastAsia="黑体"/>
                <w:bCs/>
                <w:color w:val="000000"/>
                <w:sz w:val="24"/>
              </w:rPr>
              <w:t>/d</w:t>
            </w:r>
          </w:p>
          <w:p>
            <w:pPr>
              <w:adjustRightInd w:val="0"/>
              <w:snapToGrid w:val="0"/>
              <w:spacing w:line="460" w:lineRule="exact"/>
              <w:ind w:firstLine="482" w:firstLineChars="200"/>
              <w:rPr>
                <w:b/>
                <w:color w:val="000000"/>
                <w:sz w:val="24"/>
              </w:rPr>
            </w:pPr>
            <w:r>
              <w:rPr>
                <w:rFonts w:hint="eastAsia"/>
                <w:b/>
                <w:color w:val="000000"/>
                <w:sz w:val="24"/>
              </w:rPr>
              <w:t>7、厂区平面布置简述</w:t>
            </w:r>
          </w:p>
          <w:p>
            <w:pPr>
              <w:adjustRightInd w:val="0"/>
              <w:snapToGrid w:val="0"/>
              <w:spacing w:line="460" w:lineRule="exact"/>
              <w:ind w:firstLine="480" w:firstLineChars="200"/>
              <w:rPr>
                <w:rFonts w:ascii="宋体" w:hAnsi="宋体" w:cs="宋体"/>
                <w:bCs/>
                <w:szCs w:val="21"/>
                <w:highlight w:val="yellow"/>
              </w:rPr>
            </w:pPr>
            <w:r>
              <w:rPr>
                <w:color w:val="000000"/>
                <w:sz w:val="24"/>
              </w:rPr>
              <w:t>本项目选址位于</w:t>
            </w:r>
            <w:r>
              <w:rPr>
                <w:rFonts w:hint="eastAsia"/>
                <w:color w:val="000000"/>
                <w:sz w:val="24"/>
              </w:rPr>
              <w:t>新乡市获嘉县亢村镇产业新城纬八路2号</w:t>
            </w:r>
            <w:r>
              <w:rPr>
                <w:color w:val="000000"/>
                <w:sz w:val="24"/>
              </w:rPr>
              <w:t>，</w:t>
            </w:r>
            <w:r>
              <w:rPr>
                <w:rFonts w:hint="eastAsia"/>
                <w:color w:val="000000"/>
                <w:sz w:val="24"/>
              </w:rPr>
              <w:t>利用现有厂房</w:t>
            </w:r>
            <w:r>
              <w:rPr>
                <w:color w:val="000000"/>
                <w:sz w:val="24"/>
              </w:rPr>
              <w:t>进行生产。根据企业提供的本项目厂区总平面图</w:t>
            </w:r>
            <w:r>
              <w:rPr>
                <w:rFonts w:hint="eastAsia"/>
                <w:color w:val="000000"/>
                <w:sz w:val="24"/>
              </w:rPr>
              <w:t>（详见附图三），</w:t>
            </w:r>
            <w:r>
              <w:rPr>
                <w:color w:val="000000"/>
                <w:sz w:val="24"/>
              </w:rPr>
              <w:t>厂区的平面布置较为合理</w:t>
            </w:r>
            <w:r>
              <w:rPr>
                <w:rFonts w:hint="eastAsia"/>
                <w:color w:val="000000"/>
                <w:sz w:val="24"/>
              </w:rPr>
              <w:t>，</w:t>
            </w:r>
            <w:r>
              <w:rPr>
                <w:color w:val="000000"/>
                <w:sz w:val="24"/>
              </w:rPr>
              <w:t>主要体现在一下</w:t>
            </w:r>
            <w:r>
              <w:rPr>
                <w:rFonts w:hint="eastAsia"/>
                <w:color w:val="000000"/>
                <w:sz w:val="24"/>
              </w:rPr>
              <w:t>几个</w:t>
            </w:r>
            <w:r>
              <w:rPr>
                <w:color w:val="000000"/>
                <w:sz w:val="24"/>
              </w:rPr>
              <w:t>方面</w:t>
            </w:r>
            <w:r>
              <w:rPr>
                <w:rFonts w:hint="eastAsia"/>
                <w:color w:val="000000"/>
                <w:sz w:val="24"/>
              </w:rPr>
              <w:t>：</w:t>
            </w:r>
          </w:p>
          <w:p>
            <w:pPr>
              <w:adjustRightInd w:val="0"/>
              <w:snapToGrid w:val="0"/>
              <w:spacing w:line="460" w:lineRule="exact"/>
              <w:ind w:firstLine="480" w:firstLineChars="200"/>
              <w:rPr>
                <w:bCs/>
                <w:sz w:val="24"/>
              </w:rPr>
            </w:pPr>
            <w:r>
              <w:rPr>
                <w:bCs/>
                <w:sz w:val="24"/>
              </w:rPr>
              <w:t>（1）</w:t>
            </w:r>
            <w:r>
              <w:rPr>
                <w:rFonts w:hint="eastAsia"/>
                <w:bCs/>
                <w:sz w:val="24"/>
              </w:rPr>
              <w:t>厂区内</w:t>
            </w:r>
            <w:r>
              <w:rPr>
                <w:bCs/>
                <w:sz w:val="24"/>
              </w:rPr>
              <w:t>生产区和办公区完全分开</w:t>
            </w:r>
            <w:r>
              <w:rPr>
                <w:rFonts w:hint="eastAsia"/>
                <w:bCs/>
                <w:sz w:val="24"/>
              </w:rPr>
              <w:t>，</w:t>
            </w:r>
            <w:r>
              <w:rPr>
                <w:bCs/>
                <w:sz w:val="24"/>
              </w:rPr>
              <w:t>生产</w:t>
            </w:r>
            <w:r>
              <w:rPr>
                <w:rFonts w:hint="eastAsia"/>
                <w:bCs/>
                <w:sz w:val="24"/>
              </w:rPr>
              <w:t>车间</w:t>
            </w:r>
            <w:r>
              <w:rPr>
                <w:bCs/>
                <w:sz w:val="24"/>
              </w:rPr>
              <w:t>位于办公楼的</w:t>
            </w:r>
            <w:r>
              <w:rPr>
                <w:rFonts w:hint="eastAsia"/>
                <w:bCs/>
                <w:sz w:val="24"/>
              </w:rPr>
              <w:t>南</w:t>
            </w:r>
            <w:r>
              <w:rPr>
                <w:bCs/>
                <w:sz w:val="24"/>
              </w:rPr>
              <w:t>侧</w:t>
            </w:r>
            <w:r>
              <w:rPr>
                <w:rFonts w:hint="eastAsia"/>
                <w:bCs/>
                <w:sz w:val="24"/>
              </w:rPr>
              <w:t>，生产车间大门与办公楼的出入口均临路，</w:t>
            </w:r>
            <w:r>
              <w:rPr>
                <w:bCs/>
                <w:sz w:val="24"/>
              </w:rPr>
              <w:t>有利于物流和人流的管理</w:t>
            </w:r>
            <w:r>
              <w:rPr>
                <w:rFonts w:hint="eastAsia"/>
                <w:bCs/>
                <w:sz w:val="24"/>
              </w:rPr>
              <w:t>。</w:t>
            </w:r>
          </w:p>
          <w:p>
            <w:pPr>
              <w:adjustRightInd w:val="0"/>
              <w:snapToGrid w:val="0"/>
              <w:spacing w:line="460" w:lineRule="exact"/>
              <w:ind w:firstLine="480" w:firstLineChars="200"/>
              <w:rPr>
                <w:bCs/>
                <w:sz w:val="24"/>
              </w:rPr>
            </w:pPr>
            <w:r>
              <w:rPr>
                <w:rFonts w:hint="eastAsia"/>
                <w:bCs/>
                <w:sz w:val="24"/>
              </w:rPr>
              <w:t>（2）本项目生产设备均位于生产车间内，生产车间按工序划分区域，产生污染物的工序集中，便于废气收集。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4"/>
              <w:adjustRightInd w:val="0"/>
              <w:snapToGrid w:val="0"/>
              <w:spacing w:before="0" w:beforeAutospacing="0" w:after="0" w:afterAutospacing="0"/>
              <w:jc w:val="center"/>
              <w:rPr>
                <w:rFonts w:cs="宋体"/>
                <w:sz w:val="21"/>
                <w:szCs w:val="21"/>
                <w:lang w:val="en-US"/>
              </w:rPr>
            </w:pPr>
            <w:r>
              <w:rPr>
                <w:rFonts w:hint="eastAsia" w:cs="宋体"/>
                <w:sz w:val="21"/>
                <w:szCs w:val="21"/>
                <w:lang w:val="en-US"/>
              </w:rPr>
              <w:t>工艺流程和产排污环节</w:t>
            </w:r>
          </w:p>
        </w:tc>
        <w:tc>
          <w:tcPr>
            <w:tcW w:w="8161" w:type="dxa"/>
          </w:tcPr>
          <w:p>
            <w:pPr>
              <w:adjustRightInd w:val="0"/>
              <w:snapToGrid w:val="0"/>
              <w:spacing w:line="460" w:lineRule="exact"/>
              <w:ind w:firstLine="480" w:firstLineChars="200"/>
              <w:rPr>
                <w:rFonts w:eastAsia="黑体"/>
                <w:color w:val="000000"/>
                <w:sz w:val="24"/>
                <w:szCs w:val="20"/>
              </w:rPr>
            </w:pPr>
            <w:r>
              <w:rPr>
                <w:rFonts w:eastAsia="黑体"/>
                <w:color w:val="000000"/>
                <w:sz w:val="24"/>
                <w:szCs w:val="20"/>
              </w:rPr>
              <w:t>一</w:t>
            </w:r>
            <w:r>
              <w:rPr>
                <w:rFonts w:hint="eastAsia" w:eastAsia="黑体"/>
                <w:color w:val="000000"/>
                <w:sz w:val="24"/>
                <w:szCs w:val="20"/>
              </w:rPr>
              <w:t>、</w:t>
            </w:r>
            <w:r>
              <w:rPr>
                <w:rFonts w:eastAsia="黑体"/>
                <w:color w:val="000000"/>
                <w:sz w:val="24"/>
                <w:szCs w:val="20"/>
              </w:rPr>
              <w:t>工艺流程简述（图示）：</w:t>
            </w:r>
          </w:p>
          <w:p>
            <w:pPr>
              <w:adjustRightInd w:val="0"/>
              <w:snapToGrid w:val="0"/>
              <w:spacing w:line="460" w:lineRule="exact"/>
              <w:ind w:firstLine="480" w:firstLineChars="200"/>
              <w:rPr>
                <w:rFonts w:ascii="黑体" w:hAnsi="黑体" w:eastAsia="黑体"/>
                <w:color w:val="000000"/>
                <w:sz w:val="24"/>
              </w:rPr>
            </w:pPr>
            <w:r>
              <w:rPr>
                <w:rFonts w:hint="eastAsia" w:ascii="黑体" w:hAnsi="黑体" w:eastAsia="黑体"/>
                <w:color w:val="000000"/>
                <w:sz w:val="24"/>
              </w:rPr>
              <w:t>本项目生产工艺流程图如下：</w:t>
            </w:r>
          </w:p>
          <w:p>
            <w:pPr>
              <w:adjustRightInd w:val="0"/>
              <w:snapToGrid w:val="0"/>
              <w:jc w:val="center"/>
              <w:rPr>
                <w:rFonts w:ascii="黑体" w:hAnsi="黑体" w:eastAsia="黑体"/>
                <w:color w:val="000000"/>
                <w:sz w:val="24"/>
              </w:rPr>
            </w:pPr>
            <w:r>
              <w:object>
                <v:shape id="_x0000_i1027" o:spt="75" type="#_x0000_t75" style="height:492.75pt;width:231pt;" o:ole="t" filled="f" o:preferrelative="t" stroked="f" coordsize="21600,21600">
                  <v:path/>
                  <v:fill on="f" focussize="0,0"/>
                  <v:stroke on="f" joinstyle="miter"/>
                  <v:imagedata r:id="rId18" o:title=""/>
                  <o:lock v:ext="edit" aspectratio="t"/>
                  <w10:wrap type="none"/>
                  <w10:anchorlock/>
                </v:shape>
                <o:OLEObject Type="Embed" ProgID="Visio.Drawing.11" ShapeID="_x0000_i1027" DrawAspect="Content" ObjectID="_1468075727" r:id="rId17">
                  <o:LockedField>false</o:LockedField>
                </o:OLEObject>
              </w:object>
            </w:r>
          </w:p>
          <w:p>
            <w:pPr>
              <w:pStyle w:val="46"/>
              <w:tabs>
                <w:tab w:val="left" w:pos="4063"/>
              </w:tabs>
              <w:adjustRightInd w:val="0"/>
              <w:snapToGrid w:val="0"/>
              <w:spacing w:line="240" w:lineRule="auto"/>
              <w:ind w:firstLine="0"/>
              <w:rPr>
                <w:rFonts w:eastAsia="黑体" w:cs="Courier New"/>
                <w:color w:val="000000"/>
                <w:sz w:val="24"/>
                <w:lang w:val="en-US"/>
              </w:rPr>
            </w:pPr>
            <w:r>
              <w:rPr>
                <w:rFonts w:hint="eastAsia" w:cs="Courier New"/>
                <w:color w:val="000000"/>
                <w:sz w:val="24"/>
                <w:lang w:val="en-US"/>
              </w:rPr>
              <w:t>注：G：废气；N：噪声；S：固废</w:t>
            </w:r>
          </w:p>
          <w:p>
            <w:pPr>
              <w:adjustRightInd w:val="0"/>
              <w:snapToGrid w:val="0"/>
              <w:jc w:val="center"/>
              <w:rPr>
                <w:rFonts w:ascii="黑体" w:hAnsi="黑体" w:eastAsia="黑体"/>
                <w:color w:val="000000"/>
                <w:sz w:val="24"/>
              </w:rPr>
            </w:pPr>
            <w:r>
              <w:rPr>
                <w:rFonts w:eastAsia="黑体"/>
                <w:color w:val="000000"/>
                <w:sz w:val="24"/>
              </w:rPr>
              <w:t xml:space="preserve">图4  </w:t>
            </w:r>
            <w:r>
              <w:rPr>
                <w:rFonts w:eastAsia="黑体"/>
                <w:color w:val="000000"/>
                <w:sz w:val="24"/>
                <w:szCs w:val="20"/>
              </w:rPr>
              <w:t>生产</w:t>
            </w:r>
            <w:r>
              <w:rPr>
                <w:rFonts w:ascii="Calibri" w:hAnsi="Calibri" w:eastAsia="黑体" w:cs="Calibri"/>
                <w:color w:val="000000"/>
                <w:sz w:val="24"/>
                <w:szCs w:val="20"/>
              </w:rPr>
              <w:t>工艺及产污环节流程图</w:t>
            </w:r>
          </w:p>
          <w:p>
            <w:pPr>
              <w:adjustRightInd w:val="0"/>
              <w:snapToGrid w:val="0"/>
              <w:spacing w:line="460" w:lineRule="exact"/>
              <w:ind w:firstLine="480" w:firstLineChars="200"/>
              <w:rPr>
                <w:bCs/>
                <w:sz w:val="24"/>
                <w:szCs w:val="21"/>
              </w:rPr>
            </w:pPr>
            <w:r>
              <w:rPr>
                <w:rFonts w:hint="eastAsia" w:cs="宋体"/>
                <w:color w:val="000000"/>
                <w:sz w:val="24"/>
              </w:rPr>
              <w:t>生产工艺流程</w:t>
            </w:r>
            <w:r>
              <w:rPr>
                <w:rFonts w:hint="eastAsia" w:cs="Calibri"/>
                <w:color w:val="000000"/>
                <w:sz w:val="24"/>
              </w:rPr>
              <w:t>详细</w:t>
            </w:r>
            <w:r>
              <w:rPr>
                <w:rFonts w:cs="Calibri"/>
                <w:color w:val="000000"/>
                <w:sz w:val="24"/>
              </w:rPr>
              <w:t>说明如下：</w:t>
            </w:r>
          </w:p>
          <w:p>
            <w:pPr>
              <w:adjustRightInd w:val="0"/>
              <w:snapToGrid w:val="0"/>
              <w:spacing w:line="460" w:lineRule="exact"/>
              <w:ind w:firstLine="480" w:firstLineChars="200"/>
              <w:rPr>
                <w:bCs/>
                <w:sz w:val="24"/>
                <w:szCs w:val="21"/>
              </w:rPr>
            </w:pPr>
            <w:r>
              <w:rPr>
                <w:rFonts w:hint="eastAsia"/>
                <w:bCs/>
                <w:sz w:val="24"/>
                <w:szCs w:val="21"/>
              </w:rPr>
              <w:t>1、检验：在实验室对外购的口罩原材料进行拉力、阻力等检验，合格原材料用于生产，不合格原材料退给供货厂家。</w:t>
            </w:r>
          </w:p>
          <w:p>
            <w:pPr>
              <w:adjustRightInd w:val="0"/>
              <w:snapToGrid w:val="0"/>
              <w:spacing w:line="460" w:lineRule="exact"/>
              <w:ind w:firstLine="480" w:firstLineChars="200"/>
              <w:rPr>
                <w:bCs/>
                <w:sz w:val="24"/>
                <w:szCs w:val="21"/>
              </w:rPr>
            </w:pPr>
            <w:r>
              <w:rPr>
                <w:bCs/>
                <w:sz w:val="24"/>
                <w:szCs w:val="21"/>
              </w:rPr>
              <w:t>2</w:t>
            </w:r>
            <w:r>
              <w:rPr>
                <w:rFonts w:hint="eastAsia"/>
                <w:bCs/>
                <w:sz w:val="24"/>
                <w:szCs w:val="21"/>
              </w:rPr>
              <w:t>、复合折叠、成型切片、上带：将合格的无纺布、熔喷布至于平面口罩全自动口罩机上，首先进行复合（三层加厚，里外两层无纺布，中间一层熔喷布）并折叠褶皱，并将鼻梁条置于无纺布内进行超声波压合成型，再进行切割形成面罩；人工检验面罩外观，不合格的面罩及时捡出报废，合格的面罩通过超声波焊接方式焊接耳带线形成口罩成品。设备运行会产生噪声，成型、上带过程中会产生有机废气，切片过程会产生不合格面罩。</w:t>
            </w:r>
          </w:p>
          <w:p>
            <w:pPr>
              <w:adjustRightInd w:val="0"/>
              <w:snapToGrid w:val="0"/>
              <w:spacing w:line="460" w:lineRule="exact"/>
              <w:ind w:firstLine="480" w:firstLineChars="200"/>
              <w:rPr>
                <w:bCs/>
                <w:sz w:val="24"/>
                <w:szCs w:val="21"/>
              </w:rPr>
            </w:pPr>
            <w:r>
              <w:rPr>
                <w:rFonts w:hint="eastAsia"/>
                <w:bCs/>
                <w:sz w:val="24"/>
                <w:szCs w:val="21"/>
              </w:rPr>
              <w:t>超声波焊接工作原理：超声波焊接是熔接热塑性塑料制品的高科技技术，各种热塑性胶件均可使用超声波熔接处理，不需加溶剂、粘接剂或其他辅助品。通过超声波设备把超声能量传送到焊区，由于焊区即两个焊接的交界面处声阻大，因此会产生局部高温；又由于塑料导热性差，一时还不能及时散热，热量聚集在焊区，致使两个塑料的接触面迅速熔化，加上一定压力后，使其融合成一体。当超声波停止作用后，让压力持续几秒钟，使其凝固成型，形成一个坚固的分子链，达到焊接目的，焊接强度能接近于原材料强度。本项目平面口罩全自动口罩机配套超声波焊接设备温度控制在1</w:t>
            </w:r>
            <w:r>
              <w:rPr>
                <w:bCs/>
                <w:sz w:val="24"/>
                <w:szCs w:val="21"/>
              </w:rPr>
              <w:t>70</w:t>
            </w:r>
            <w:r>
              <w:rPr>
                <w:rFonts w:hint="eastAsia"/>
                <w:bCs/>
                <w:sz w:val="24"/>
                <w:szCs w:val="21"/>
              </w:rPr>
              <w:t>℃左右，无纺布（主要成分为聚丙烯，热分解温度为3</w:t>
            </w:r>
            <w:r>
              <w:rPr>
                <w:bCs/>
                <w:sz w:val="24"/>
                <w:szCs w:val="21"/>
              </w:rPr>
              <w:t>50</w:t>
            </w:r>
            <w:r>
              <w:rPr>
                <w:rFonts w:hint="eastAsia"/>
                <w:bCs/>
                <w:sz w:val="24"/>
                <w:szCs w:val="21"/>
              </w:rPr>
              <w:t>℃）中化学成分基本不会分解，但原料中有少量未聚合的单体在高温下会有部分会发出来，产生少量有机物，以非甲烷总烃计。</w:t>
            </w:r>
          </w:p>
          <w:p>
            <w:pPr>
              <w:adjustRightInd w:val="0"/>
              <w:snapToGrid w:val="0"/>
              <w:spacing w:line="460" w:lineRule="exact"/>
              <w:ind w:firstLine="480" w:firstLineChars="200"/>
              <w:rPr>
                <w:bCs/>
                <w:sz w:val="24"/>
                <w:szCs w:val="21"/>
              </w:rPr>
            </w:pPr>
            <w:r>
              <w:rPr>
                <w:rFonts w:hint="eastAsia"/>
                <w:bCs/>
                <w:sz w:val="24"/>
                <w:szCs w:val="21"/>
              </w:rPr>
              <w:t>3、内包装、过程检验、外包装：将成品口罩以1</w:t>
            </w:r>
            <w:r>
              <w:rPr>
                <w:bCs/>
                <w:sz w:val="24"/>
                <w:szCs w:val="21"/>
              </w:rPr>
              <w:t>0</w:t>
            </w:r>
            <w:r>
              <w:rPr>
                <w:rFonts w:hint="eastAsia"/>
                <w:bCs/>
                <w:sz w:val="24"/>
                <w:szCs w:val="21"/>
              </w:rPr>
              <w:t>支/组装入塑料袋内使用封口机密闭包装；人工检验塑料袋是否破损漏气，不合格的包装袋及时捡出并重新包装，合格的包装袋按生产批次与使用说明书、合格证一起使用打包机装入包装箱。设备运行会产生噪声，检验过程会产生废包装袋。</w:t>
            </w:r>
          </w:p>
          <w:p>
            <w:pPr>
              <w:adjustRightInd w:val="0"/>
              <w:snapToGrid w:val="0"/>
              <w:spacing w:line="460" w:lineRule="exact"/>
              <w:ind w:firstLine="480" w:firstLineChars="200"/>
              <w:rPr>
                <w:bCs/>
                <w:sz w:val="24"/>
                <w:szCs w:val="21"/>
              </w:rPr>
            </w:pPr>
            <w:r>
              <w:rPr>
                <w:rFonts w:hint="eastAsia"/>
                <w:bCs/>
                <w:sz w:val="24"/>
                <w:szCs w:val="21"/>
              </w:rPr>
              <w:t>4、灭菌解析、成品检验、入库：将包装好的口罩放入灭菌柜进行环氧乙烷熏蒸消毒灭菌（利用环氧乙烷穿透力强的特点），灭菌时间为1</w:t>
            </w:r>
            <w:r>
              <w:rPr>
                <w:bCs/>
                <w:sz w:val="24"/>
                <w:szCs w:val="21"/>
              </w:rPr>
              <w:t>0h</w:t>
            </w:r>
            <w:r>
              <w:rPr>
                <w:rFonts w:hint="eastAsia"/>
                <w:bCs/>
                <w:sz w:val="24"/>
                <w:szCs w:val="21"/>
              </w:rPr>
              <w:t>左右；将灭菌后的口罩放入解析室进行解析，释放口罩</w:t>
            </w:r>
            <w:r>
              <w:rPr>
                <w:rFonts w:hint="eastAsia"/>
                <w:bCs/>
                <w:color w:val="000000"/>
                <w:sz w:val="24"/>
              </w:rPr>
              <w:t>包装箱</w:t>
            </w:r>
            <w:r>
              <w:rPr>
                <w:rFonts w:hint="eastAsia"/>
                <w:bCs/>
                <w:sz w:val="24"/>
                <w:szCs w:val="21"/>
              </w:rPr>
              <w:t>里残余的环氧乙烷气体，解析时间为2</w:t>
            </w:r>
            <w:r>
              <w:rPr>
                <w:bCs/>
                <w:sz w:val="24"/>
                <w:szCs w:val="21"/>
              </w:rPr>
              <w:t>4h</w:t>
            </w:r>
            <w:r>
              <w:rPr>
                <w:rFonts w:hint="eastAsia"/>
                <w:bCs/>
                <w:sz w:val="24"/>
                <w:szCs w:val="21"/>
              </w:rPr>
              <w:t>左右；解析后的口罩经实验室灭菌检验后，合格口罩的包装箱贴上灭菌合格证并入库存放，不合格口罩直接销毁形成废面料。设备运行会产生噪声，灭菌解析过程会产生有机废气，检验过程会产生废面料。</w:t>
            </w:r>
          </w:p>
          <w:p>
            <w:pPr>
              <w:adjustRightInd w:val="0"/>
              <w:snapToGrid w:val="0"/>
              <w:spacing w:line="460" w:lineRule="exact"/>
              <w:ind w:firstLine="480" w:firstLineChars="200"/>
              <w:rPr>
                <w:bCs/>
                <w:sz w:val="24"/>
                <w:szCs w:val="21"/>
              </w:rPr>
            </w:pPr>
            <w:r>
              <w:rPr>
                <w:rFonts w:hint="eastAsia"/>
                <w:bCs/>
                <w:sz w:val="24"/>
                <w:szCs w:val="21"/>
              </w:rPr>
              <w:t>环氧乙烷灭菌工作原理：环氧乙烷是一种广谱灭菌剂，可在常温下杀灭各种微生物，包括芽孢、结核杆菌、细菌、病毒、真菌等。可以用纯环氧乙烷或环氧乙烷和二氧化碳混合气体进行灭菌，利用了环氧乙烷气体的高蒸汽压、3</w:t>
            </w:r>
            <w:r>
              <w:rPr>
                <w:bCs/>
                <w:sz w:val="24"/>
                <w:szCs w:val="21"/>
              </w:rPr>
              <w:t>0</w:t>
            </w:r>
            <w:r>
              <w:rPr>
                <w:rFonts w:hint="eastAsia"/>
                <w:bCs/>
                <w:sz w:val="24"/>
                <w:szCs w:val="21"/>
              </w:rPr>
              <w:t>℃时可达1</w:t>
            </w:r>
            <w:r>
              <w:rPr>
                <w:bCs/>
                <w:sz w:val="24"/>
                <w:szCs w:val="21"/>
              </w:rPr>
              <w:t>41kPa</w:t>
            </w:r>
            <w:r>
              <w:rPr>
                <w:rFonts w:hint="eastAsia"/>
                <w:bCs/>
                <w:sz w:val="24"/>
                <w:szCs w:val="21"/>
              </w:rPr>
              <w:t>、进行环氧乙烷熏蒸消毒时穿透力强较强的特点。一般要求灭菌条件为：浓度80</w:t>
            </w:r>
            <w:r>
              <w:rPr>
                <w:bCs/>
                <w:sz w:val="24"/>
                <w:szCs w:val="21"/>
              </w:rPr>
              <w:t>0mg/L</w:t>
            </w:r>
            <w:r>
              <w:rPr>
                <w:rFonts w:hint="eastAsia"/>
                <w:bCs/>
                <w:sz w:val="24"/>
                <w:szCs w:val="21"/>
              </w:rPr>
              <w:t>～</w:t>
            </w:r>
            <w:r>
              <w:rPr>
                <w:bCs/>
                <w:sz w:val="24"/>
                <w:szCs w:val="21"/>
              </w:rPr>
              <w:t>10</w:t>
            </w:r>
            <w:r>
              <w:rPr>
                <w:rFonts w:hint="eastAsia"/>
                <w:bCs/>
                <w:sz w:val="24"/>
                <w:szCs w:val="21"/>
              </w:rPr>
              <w:t>0</w:t>
            </w:r>
            <w:r>
              <w:rPr>
                <w:bCs/>
                <w:sz w:val="24"/>
                <w:szCs w:val="21"/>
              </w:rPr>
              <w:t>0mg/L</w:t>
            </w:r>
            <w:r>
              <w:rPr>
                <w:rFonts w:hint="eastAsia"/>
                <w:bCs/>
                <w:sz w:val="24"/>
                <w:szCs w:val="21"/>
              </w:rPr>
              <w:t>，温度5</w:t>
            </w:r>
            <w:r>
              <w:rPr>
                <w:bCs/>
                <w:sz w:val="24"/>
                <w:szCs w:val="21"/>
              </w:rPr>
              <w:t>5</w:t>
            </w:r>
            <w:r>
              <w:rPr>
                <w:rFonts w:hint="eastAsia"/>
                <w:bCs/>
                <w:sz w:val="24"/>
                <w:szCs w:val="21"/>
              </w:rPr>
              <w:t>℃～6</w:t>
            </w:r>
            <w:r>
              <w:rPr>
                <w:bCs/>
                <w:sz w:val="24"/>
                <w:szCs w:val="21"/>
              </w:rPr>
              <w:t>0</w:t>
            </w:r>
            <w:r>
              <w:rPr>
                <w:rFonts w:hint="eastAsia"/>
                <w:bCs/>
                <w:sz w:val="24"/>
                <w:szCs w:val="21"/>
              </w:rPr>
              <w:t>℃，相对湿度6</w:t>
            </w:r>
            <w:r>
              <w:rPr>
                <w:bCs/>
                <w:sz w:val="24"/>
                <w:szCs w:val="21"/>
              </w:rPr>
              <w:t>0</w:t>
            </w:r>
            <w:r>
              <w:rPr>
                <w:rFonts w:hint="eastAsia"/>
                <w:bCs/>
                <w:sz w:val="24"/>
                <w:szCs w:val="21"/>
              </w:rPr>
              <w:t>%～</w:t>
            </w:r>
            <w:r>
              <w:rPr>
                <w:bCs/>
                <w:sz w:val="24"/>
                <w:szCs w:val="21"/>
              </w:rPr>
              <w:t>80</w:t>
            </w:r>
            <w:r>
              <w:rPr>
                <w:rFonts w:hint="eastAsia"/>
                <w:bCs/>
                <w:sz w:val="24"/>
                <w:szCs w:val="21"/>
              </w:rPr>
              <w:t>%。</w:t>
            </w:r>
          </w:p>
          <w:p>
            <w:pPr>
              <w:adjustRightInd w:val="0"/>
              <w:snapToGrid w:val="0"/>
              <w:spacing w:line="460" w:lineRule="exact"/>
              <w:ind w:firstLine="480" w:firstLineChars="200"/>
              <w:rPr>
                <w:rFonts w:eastAsia="黑体"/>
                <w:color w:val="000000"/>
                <w:sz w:val="24"/>
                <w:szCs w:val="20"/>
              </w:rPr>
            </w:pPr>
            <w:r>
              <w:rPr>
                <w:rFonts w:eastAsia="黑体"/>
                <w:color w:val="000000"/>
                <w:sz w:val="24"/>
                <w:szCs w:val="20"/>
              </w:rPr>
              <w:t>二</w:t>
            </w:r>
            <w:r>
              <w:rPr>
                <w:rFonts w:hint="eastAsia" w:eastAsia="黑体"/>
                <w:color w:val="000000"/>
                <w:sz w:val="24"/>
                <w:szCs w:val="20"/>
              </w:rPr>
              <w:t>、</w:t>
            </w:r>
            <w:r>
              <w:rPr>
                <w:rFonts w:eastAsia="黑体"/>
                <w:color w:val="000000"/>
                <w:sz w:val="24"/>
                <w:szCs w:val="20"/>
              </w:rPr>
              <w:t>主要</w:t>
            </w:r>
            <w:r>
              <w:rPr>
                <w:rFonts w:hint="eastAsia" w:eastAsia="黑体"/>
                <w:color w:val="000000"/>
                <w:sz w:val="24"/>
                <w:szCs w:val="20"/>
              </w:rPr>
              <w:t>产排污</w:t>
            </w:r>
            <w:r>
              <w:rPr>
                <w:rFonts w:eastAsia="黑体"/>
                <w:color w:val="000000"/>
                <w:sz w:val="24"/>
                <w:szCs w:val="20"/>
              </w:rPr>
              <w:t>环节</w:t>
            </w:r>
          </w:p>
          <w:p>
            <w:pPr>
              <w:adjustRightInd w:val="0"/>
              <w:snapToGrid w:val="0"/>
              <w:spacing w:line="460" w:lineRule="exact"/>
              <w:ind w:firstLine="480" w:firstLineChars="200"/>
              <w:textAlignment w:val="baseline"/>
              <w:rPr>
                <w:color w:val="000000"/>
                <w:sz w:val="24"/>
              </w:rPr>
            </w:pPr>
            <w:r>
              <w:rPr>
                <w:color w:val="000000"/>
                <w:sz w:val="24"/>
              </w:rPr>
              <w:t>本项目利用现有厂房进行生产</w:t>
            </w:r>
            <w:r>
              <w:rPr>
                <w:rFonts w:hint="eastAsia"/>
                <w:color w:val="000000"/>
                <w:sz w:val="24"/>
              </w:rPr>
              <w:t>，</w:t>
            </w:r>
            <w:r>
              <w:rPr>
                <w:color w:val="000000"/>
                <w:sz w:val="24"/>
              </w:rPr>
              <w:t>无施工期影响</w:t>
            </w:r>
            <w:r>
              <w:rPr>
                <w:rFonts w:hint="eastAsia"/>
                <w:color w:val="000000"/>
                <w:sz w:val="24"/>
              </w:rPr>
              <w:t>。</w:t>
            </w:r>
            <w:r>
              <w:rPr>
                <w:color w:val="000000"/>
                <w:sz w:val="24"/>
              </w:rPr>
              <w:t>营运期主要污染物、产污环节及防治措施详见</w:t>
            </w:r>
            <w:r>
              <w:rPr>
                <w:rFonts w:hint="eastAsia"/>
                <w:color w:val="000000"/>
                <w:sz w:val="24"/>
              </w:rPr>
              <w:t>下表</w:t>
            </w:r>
            <w:r>
              <w:rPr>
                <w:color w:val="000000"/>
                <w:sz w:val="24"/>
              </w:rPr>
              <w:t>。</w:t>
            </w:r>
          </w:p>
          <w:p>
            <w:pPr>
              <w:adjustRightInd w:val="0"/>
              <w:snapToGrid w:val="0"/>
              <w:spacing w:line="460" w:lineRule="exact"/>
              <w:ind w:firstLine="480" w:firstLineChars="200"/>
              <w:textAlignment w:val="baseline"/>
              <w:rPr>
                <w:color w:val="000000"/>
                <w:sz w:val="24"/>
              </w:rPr>
            </w:pPr>
            <w:r>
              <w:rPr>
                <w:rFonts w:eastAsia="黑体"/>
                <w:bCs/>
                <w:color w:val="000000"/>
                <w:sz w:val="24"/>
              </w:rPr>
              <w:t xml:space="preserve">表15             </w:t>
            </w:r>
            <w:r>
              <w:rPr>
                <w:rFonts w:hint="eastAsia" w:eastAsia="黑体"/>
                <w:bCs/>
                <w:color w:val="000000"/>
                <w:sz w:val="24"/>
              </w:rPr>
              <w:t xml:space="preserve"> </w:t>
            </w:r>
            <w:r>
              <w:rPr>
                <w:rFonts w:eastAsia="黑体"/>
                <w:bCs/>
                <w:color w:val="000000"/>
                <w:sz w:val="24"/>
              </w:rPr>
              <w:t>项目营运期产污环节一览表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82"/>
              <w:gridCol w:w="715"/>
              <w:gridCol w:w="1411"/>
              <w:gridCol w:w="1991"/>
              <w:gridCol w:w="284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Align w:val="center"/>
                </w:tcPr>
                <w:p>
                  <w:pPr>
                    <w:jc w:val="center"/>
                    <w:rPr>
                      <w:b/>
                      <w:color w:val="000000"/>
                      <w:szCs w:val="21"/>
                    </w:rPr>
                  </w:pPr>
                  <w:r>
                    <w:rPr>
                      <w:b/>
                      <w:color w:val="000000"/>
                      <w:szCs w:val="21"/>
                    </w:rPr>
                    <w:t>污染因素</w:t>
                  </w:r>
                </w:p>
              </w:tc>
              <w:tc>
                <w:tcPr>
                  <w:tcW w:w="2126" w:type="dxa"/>
                  <w:gridSpan w:val="2"/>
                  <w:vAlign w:val="center"/>
                </w:tcPr>
                <w:p>
                  <w:pPr>
                    <w:jc w:val="center"/>
                    <w:rPr>
                      <w:b/>
                      <w:color w:val="000000"/>
                      <w:szCs w:val="21"/>
                    </w:rPr>
                  </w:pPr>
                  <w:r>
                    <w:rPr>
                      <w:b/>
                      <w:color w:val="000000"/>
                      <w:szCs w:val="21"/>
                    </w:rPr>
                    <w:t>产污环节</w:t>
                  </w:r>
                </w:p>
              </w:tc>
              <w:tc>
                <w:tcPr>
                  <w:tcW w:w="1991" w:type="dxa"/>
                  <w:vAlign w:val="center"/>
                </w:tcPr>
                <w:p>
                  <w:pPr>
                    <w:jc w:val="center"/>
                    <w:rPr>
                      <w:b/>
                      <w:color w:val="000000"/>
                      <w:szCs w:val="21"/>
                    </w:rPr>
                  </w:pPr>
                  <w:r>
                    <w:rPr>
                      <w:b/>
                      <w:color w:val="000000"/>
                      <w:szCs w:val="21"/>
                    </w:rPr>
                    <w:t>污染物</w:t>
                  </w:r>
                </w:p>
              </w:tc>
              <w:tc>
                <w:tcPr>
                  <w:tcW w:w="2846" w:type="dxa"/>
                  <w:vAlign w:val="center"/>
                </w:tcPr>
                <w:p>
                  <w:pPr>
                    <w:jc w:val="center"/>
                    <w:rPr>
                      <w:b/>
                      <w:color w:val="000000"/>
                      <w:szCs w:val="21"/>
                    </w:rPr>
                  </w:pPr>
                  <w:r>
                    <w:rPr>
                      <w:b/>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Align w:val="center"/>
                </w:tcPr>
                <w:p>
                  <w:pPr>
                    <w:jc w:val="center"/>
                    <w:rPr>
                      <w:color w:val="000000"/>
                      <w:szCs w:val="21"/>
                    </w:rPr>
                  </w:pPr>
                  <w:r>
                    <w:rPr>
                      <w:color w:val="000000"/>
                      <w:szCs w:val="21"/>
                    </w:rPr>
                    <w:t>废水</w:t>
                  </w:r>
                </w:p>
              </w:tc>
              <w:tc>
                <w:tcPr>
                  <w:tcW w:w="2126" w:type="dxa"/>
                  <w:gridSpan w:val="2"/>
                  <w:vAlign w:val="center"/>
                </w:tcPr>
                <w:p>
                  <w:pPr>
                    <w:pStyle w:val="39"/>
                    <w:rPr>
                      <w:lang w:val="en-US"/>
                    </w:rPr>
                  </w:pPr>
                  <w:r>
                    <w:rPr>
                      <w:rFonts w:hint="eastAsia"/>
                      <w:lang w:val="en-US"/>
                    </w:rPr>
                    <w:t>生活污水</w:t>
                  </w:r>
                </w:p>
              </w:tc>
              <w:tc>
                <w:tcPr>
                  <w:tcW w:w="1991" w:type="dxa"/>
                  <w:vAlign w:val="center"/>
                </w:tcPr>
                <w:p>
                  <w:pPr>
                    <w:pStyle w:val="39"/>
                    <w:rPr>
                      <w:lang w:val="en-US"/>
                    </w:rPr>
                  </w:pPr>
                  <w:r>
                    <w:rPr>
                      <w:lang w:val="en-US"/>
                    </w:rPr>
                    <w:t>COD、SS、NH</w:t>
                  </w:r>
                  <w:r>
                    <w:rPr>
                      <w:vertAlign w:val="subscript"/>
                      <w:lang w:val="en-US"/>
                    </w:rPr>
                    <w:t>3</w:t>
                  </w:r>
                  <w:r>
                    <w:rPr>
                      <w:rFonts w:hint="eastAsia"/>
                      <w:lang w:val="en-US"/>
                    </w:rPr>
                    <w:t>-</w:t>
                  </w:r>
                  <w:r>
                    <w:rPr>
                      <w:lang w:val="en-US"/>
                    </w:rPr>
                    <w:t>N、TN、TP</w:t>
                  </w:r>
                </w:p>
              </w:tc>
              <w:tc>
                <w:tcPr>
                  <w:tcW w:w="2846" w:type="dxa"/>
                  <w:vAlign w:val="center"/>
                </w:tcPr>
                <w:p>
                  <w:pPr>
                    <w:pStyle w:val="39"/>
                    <w:rPr>
                      <w:bCs/>
                      <w:lang w:val="en-US"/>
                    </w:rPr>
                  </w:pPr>
                  <w:r>
                    <w:rPr>
                      <w:rFonts w:hint="eastAsia"/>
                      <w:bCs/>
                      <w:lang w:val="en-US"/>
                    </w:rPr>
                    <w:t>经化粪池处理后排入获嘉县亢村污水处理厂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restart"/>
                  <w:shd w:val="clear" w:color="auto" w:fill="auto"/>
                  <w:vAlign w:val="center"/>
                </w:tcPr>
                <w:p>
                  <w:pPr>
                    <w:jc w:val="center"/>
                    <w:rPr>
                      <w:color w:val="000000"/>
                      <w:szCs w:val="21"/>
                    </w:rPr>
                  </w:pPr>
                  <w:r>
                    <w:rPr>
                      <w:color w:val="000000"/>
                      <w:szCs w:val="21"/>
                    </w:rPr>
                    <w:t>废气</w:t>
                  </w:r>
                </w:p>
              </w:tc>
              <w:tc>
                <w:tcPr>
                  <w:tcW w:w="2126" w:type="dxa"/>
                  <w:gridSpan w:val="2"/>
                  <w:shd w:val="clear" w:color="auto" w:fill="auto"/>
                  <w:vAlign w:val="center"/>
                </w:tcPr>
                <w:p>
                  <w:pPr>
                    <w:pStyle w:val="39"/>
                    <w:rPr>
                      <w:lang w:val="en-US"/>
                    </w:rPr>
                  </w:pPr>
                  <w:r>
                    <w:rPr>
                      <w:rFonts w:hint="eastAsia" w:cs="宋体"/>
                    </w:rPr>
                    <w:t>灭菌废气</w:t>
                  </w:r>
                </w:p>
              </w:tc>
              <w:tc>
                <w:tcPr>
                  <w:tcW w:w="1991" w:type="dxa"/>
                  <w:shd w:val="clear" w:color="auto" w:fill="auto"/>
                  <w:vAlign w:val="center"/>
                </w:tcPr>
                <w:p>
                  <w:pPr>
                    <w:pStyle w:val="39"/>
                    <w:rPr>
                      <w:lang w:val="en-US"/>
                    </w:rPr>
                  </w:pPr>
                  <w:r>
                    <w:rPr>
                      <w:rFonts w:hint="eastAsia" w:cs="宋体"/>
                    </w:rPr>
                    <w:t>非甲烷总烃</w:t>
                  </w:r>
                </w:p>
              </w:tc>
              <w:tc>
                <w:tcPr>
                  <w:tcW w:w="2846" w:type="dxa"/>
                  <w:shd w:val="clear" w:color="auto" w:fill="auto"/>
                  <w:vAlign w:val="center"/>
                </w:tcPr>
                <w:p>
                  <w:pPr>
                    <w:jc w:val="center"/>
                    <w:rPr>
                      <w:color w:val="000000"/>
                      <w:szCs w:val="21"/>
                    </w:rPr>
                  </w:pPr>
                  <w:r>
                    <w:rPr>
                      <w:rFonts w:hint="eastAsia" w:cs="宋体"/>
                      <w:szCs w:val="21"/>
                    </w:rPr>
                    <w:t>负压密闭管道+水喷淋装置+</w:t>
                  </w:r>
                  <w:r>
                    <w:rPr>
                      <w:rFonts w:cs="宋体"/>
                      <w:szCs w:val="21"/>
                    </w:rPr>
                    <w:t>15</w:t>
                  </w:r>
                  <w:r>
                    <w:rPr>
                      <w:rFonts w:hint="eastAsia" w:cs="宋体"/>
                      <w:szCs w:val="21"/>
                    </w:rPr>
                    <w:t>m高排气筒P</w:t>
                  </w:r>
                  <w:r>
                    <w:rPr>
                      <w:rFonts w:cs="宋体"/>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continue"/>
                  <w:shd w:val="clear" w:color="auto" w:fill="auto"/>
                  <w:vAlign w:val="center"/>
                </w:tcPr>
                <w:p>
                  <w:pPr>
                    <w:jc w:val="center"/>
                    <w:rPr>
                      <w:color w:val="000000"/>
                      <w:szCs w:val="21"/>
                    </w:rPr>
                  </w:pPr>
                </w:p>
              </w:tc>
              <w:tc>
                <w:tcPr>
                  <w:tcW w:w="715" w:type="dxa"/>
                  <w:shd w:val="clear" w:color="auto" w:fill="auto"/>
                  <w:vAlign w:val="center"/>
                </w:tcPr>
                <w:p>
                  <w:pPr>
                    <w:pStyle w:val="39"/>
                    <w:rPr>
                      <w:color w:val="000000"/>
                      <w:lang w:val="en-US"/>
                    </w:rPr>
                  </w:pPr>
                  <w:r>
                    <w:rPr>
                      <w:rFonts w:hint="eastAsia"/>
                      <w:color w:val="000000"/>
                      <w:lang w:val="en-US"/>
                    </w:rPr>
                    <w:t>无组织废气</w:t>
                  </w:r>
                </w:p>
              </w:tc>
              <w:tc>
                <w:tcPr>
                  <w:tcW w:w="1411" w:type="dxa"/>
                  <w:shd w:val="clear" w:color="auto" w:fill="auto"/>
                  <w:vAlign w:val="center"/>
                </w:tcPr>
                <w:p>
                  <w:pPr>
                    <w:pStyle w:val="39"/>
                    <w:rPr>
                      <w:color w:val="000000"/>
                      <w:lang w:val="en-US"/>
                    </w:rPr>
                  </w:pPr>
                  <w:r>
                    <w:rPr>
                      <w:rFonts w:hint="eastAsia"/>
                      <w:color w:val="000000"/>
                      <w:lang w:val="en-US"/>
                    </w:rPr>
                    <w:t>生产车间、解析室</w:t>
                  </w:r>
                </w:p>
              </w:tc>
              <w:tc>
                <w:tcPr>
                  <w:tcW w:w="1991" w:type="dxa"/>
                  <w:shd w:val="clear" w:color="auto" w:fill="auto"/>
                  <w:vAlign w:val="center"/>
                </w:tcPr>
                <w:p>
                  <w:pPr>
                    <w:pStyle w:val="39"/>
                    <w:rPr>
                      <w:lang w:val="en-US"/>
                    </w:rPr>
                  </w:pPr>
                  <w:r>
                    <w:rPr>
                      <w:rFonts w:hint="eastAsia"/>
                      <w:lang w:val="en-US"/>
                    </w:rPr>
                    <w:t>非甲烷总烃</w:t>
                  </w:r>
                </w:p>
              </w:tc>
              <w:tc>
                <w:tcPr>
                  <w:tcW w:w="2846" w:type="dxa"/>
                  <w:shd w:val="clear" w:color="auto" w:fill="auto"/>
                  <w:vAlign w:val="center"/>
                </w:tcPr>
                <w:p>
                  <w:pPr>
                    <w:jc w:val="center"/>
                    <w:rPr>
                      <w:bCs/>
                    </w:rPr>
                  </w:pPr>
                  <w:r>
                    <w:rPr>
                      <w:rFonts w:hint="eastAsia"/>
                      <w:bCs/>
                    </w:rPr>
                    <w:t>车间密闭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Align w:val="center"/>
                </w:tcPr>
                <w:p>
                  <w:pPr>
                    <w:jc w:val="center"/>
                    <w:rPr>
                      <w:color w:val="000000"/>
                      <w:szCs w:val="21"/>
                    </w:rPr>
                  </w:pPr>
                  <w:r>
                    <w:rPr>
                      <w:color w:val="000000"/>
                      <w:szCs w:val="21"/>
                    </w:rPr>
                    <w:t>噪声</w:t>
                  </w:r>
                </w:p>
              </w:tc>
              <w:tc>
                <w:tcPr>
                  <w:tcW w:w="2126" w:type="dxa"/>
                  <w:gridSpan w:val="2"/>
                  <w:vAlign w:val="center"/>
                </w:tcPr>
                <w:p>
                  <w:pPr>
                    <w:jc w:val="center"/>
                    <w:rPr>
                      <w:color w:val="000000"/>
                      <w:szCs w:val="21"/>
                    </w:rPr>
                  </w:pPr>
                  <w:r>
                    <w:rPr>
                      <w:rFonts w:hint="eastAsia" w:cs="宋体"/>
                      <w:szCs w:val="21"/>
                    </w:rPr>
                    <w:t>平面口罩全自动口罩机、封口机等</w:t>
                  </w:r>
                </w:p>
              </w:tc>
              <w:tc>
                <w:tcPr>
                  <w:tcW w:w="1991" w:type="dxa"/>
                  <w:vAlign w:val="center"/>
                </w:tcPr>
                <w:p>
                  <w:pPr>
                    <w:jc w:val="center"/>
                    <w:rPr>
                      <w:color w:val="000000"/>
                      <w:szCs w:val="21"/>
                    </w:rPr>
                  </w:pPr>
                  <w:r>
                    <w:rPr>
                      <w:color w:val="000000"/>
                      <w:szCs w:val="21"/>
                    </w:rPr>
                    <w:t>噪声</w:t>
                  </w:r>
                </w:p>
              </w:tc>
              <w:tc>
                <w:tcPr>
                  <w:tcW w:w="2846" w:type="dxa"/>
                  <w:vAlign w:val="center"/>
                </w:tcPr>
                <w:p>
                  <w:pPr>
                    <w:jc w:val="center"/>
                    <w:rPr>
                      <w:color w:val="000000"/>
                      <w:szCs w:val="21"/>
                    </w:rPr>
                  </w:pPr>
                  <w:r>
                    <w:rPr>
                      <w:color w:val="000000"/>
                      <w:szCs w:val="21"/>
                    </w:rPr>
                    <w:t>基础减振、</w:t>
                  </w:r>
                  <w:r>
                    <w:rPr>
                      <w:rFonts w:hint="eastAsia"/>
                      <w:color w:val="000000"/>
                      <w:szCs w:val="21"/>
                    </w:rPr>
                    <w:t>厂房</w:t>
                  </w:r>
                  <w:r>
                    <w:rPr>
                      <w:color w:val="000000"/>
                      <w:szCs w:val="21"/>
                    </w:rPr>
                    <w:t>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restart"/>
                  <w:shd w:val="clear" w:color="auto" w:fill="auto"/>
                  <w:vAlign w:val="center"/>
                </w:tcPr>
                <w:p>
                  <w:pPr>
                    <w:jc w:val="center"/>
                    <w:rPr>
                      <w:color w:val="000000"/>
                      <w:szCs w:val="21"/>
                      <w:highlight w:val="yellow"/>
                    </w:rPr>
                  </w:pPr>
                  <w:r>
                    <w:rPr>
                      <w:color w:val="000000"/>
                      <w:szCs w:val="21"/>
                    </w:rPr>
                    <w:t>固废</w:t>
                  </w:r>
                </w:p>
              </w:tc>
              <w:tc>
                <w:tcPr>
                  <w:tcW w:w="715" w:type="dxa"/>
                  <w:vMerge w:val="restart"/>
                  <w:shd w:val="clear" w:color="auto" w:fill="auto"/>
                  <w:vAlign w:val="center"/>
                </w:tcPr>
                <w:p>
                  <w:pPr>
                    <w:pStyle w:val="39"/>
                    <w:rPr>
                      <w:lang w:val="en-US"/>
                    </w:rPr>
                  </w:pPr>
                  <w:r>
                    <w:rPr>
                      <w:rFonts w:hint="eastAsia"/>
                      <w:lang w:val="en-US"/>
                    </w:rPr>
                    <w:t>一般固废</w:t>
                  </w:r>
                </w:p>
              </w:tc>
              <w:tc>
                <w:tcPr>
                  <w:tcW w:w="1411" w:type="dxa"/>
                  <w:shd w:val="clear" w:color="auto" w:fill="auto"/>
                  <w:vAlign w:val="center"/>
                </w:tcPr>
                <w:p>
                  <w:pPr>
                    <w:pStyle w:val="39"/>
                    <w:rPr>
                      <w:lang w:val="en-US"/>
                    </w:rPr>
                  </w:pPr>
                  <w:r>
                    <w:rPr>
                      <w:rFonts w:hint="eastAsia"/>
                      <w:color w:val="000000"/>
                      <w:lang w:val="en-US"/>
                    </w:rPr>
                    <w:t>内包装工序</w:t>
                  </w:r>
                  <w:r>
                    <w:rPr>
                      <w:rFonts w:hint="eastAsia"/>
                      <w:color w:val="000000"/>
                    </w:rPr>
                    <w:t>、</w:t>
                  </w:r>
                  <w:r>
                    <w:rPr>
                      <w:rFonts w:hint="eastAsia"/>
                      <w:color w:val="000000"/>
                      <w:lang w:val="en-US"/>
                    </w:rPr>
                    <w:t>袋装原料使用</w:t>
                  </w:r>
                </w:p>
              </w:tc>
              <w:tc>
                <w:tcPr>
                  <w:tcW w:w="1991" w:type="dxa"/>
                  <w:shd w:val="clear" w:color="auto" w:fill="auto"/>
                  <w:vAlign w:val="center"/>
                </w:tcPr>
                <w:p>
                  <w:pPr>
                    <w:pStyle w:val="39"/>
                    <w:rPr>
                      <w:lang w:val="en-US"/>
                    </w:rPr>
                  </w:pPr>
                  <w:r>
                    <w:rPr>
                      <w:rFonts w:hint="eastAsia"/>
                      <w:color w:val="000000"/>
                      <w:lang w:val="en-US"/>
                    </w:rPr>
                    <w:t>废包装袋</w:t>
                  </w:r>
                </w:p>
              </w:tc>
              <w:tc>
                <w:tcPr>
                  <w:tcW w:w="2846" w:type="dxa"/>
                  <w:vMerge w:val="restart"/>
                  <w:shd w:val="clear" w:color="auto" w:fill="auto"/>
                  <w:vAlign w:val="center"/>
                </w:tcPr>
                <w:p>
                  <w:pPr>
                    <w:pStyle w:val="39"/>
                    <w:rPr>
                      <w:lang w:val="en-US"/>
                    </w:rPr>
                  </w:pPr>
                  <w:r>
                    <w:rPr>
                      <w:color w:val="000000"/>
                      <w:lang w:val="en-US"/>
                    </w:rPr>
                    <w:t>收集至一般固废暂存间暂存后，</w:t>
                  </w:r>
                  <w:r>
                    <w:rPr>
                      <w:rFonts w:hint="eastAsia"/>
                      <w:color w:val="000000"/>
                      <w:lang w:val="en-US"/>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continue"/>
                  <w:shd w:val="clear" w:color="auto" w:fill="auto"/>
                  <w:vAlign w:val="center"/>
                </w:tcPr>
                <w:p>
                  <w:pPr>
                    <w:jc w:val="center"/>
                    <w:rPr>
                      <w:color w:val="000000"/>
                      <w:szCs w:val="21"/>
                    </w:rPr>
                  </w:pPr>
                </w:p>
              </w:tc>
              <w:tc>
                <w:tcPr>
                  <w:tcW w:w="715" w:type="dxa"/>
                  <w:vMerge w:val="continue"/>
                  <w:shd w:val="clear" w:color="auto" w:fill="auto"/>
                  <w:vAlign w:val="center"/>
                </w:tcPr>
                <w:p>
                  <w:pPr>
                    <w:pStyle w:val="39"/>
                    <w:rPr>
                      <w:lang w:val="en-US"/>
                    </w:rPr>
                  </w:pPr>
                </w:p>
              </w:tc>
              <w:tc>
                <w:tcPr>
                  <w:tcW w:w="1411" w:type="dxa"/>
                  <w:shd w:val="clear" w:color="auto" w:fill="auto"/>
                  <w:vAlign w:val="center"/>
                </w:tcPr>
                <w:p>
                  <w:pPr>
                    <w:pStyle w:val="39"/>
                    <w:rPr>
                      <w:lang w:val="en-US"/>
                    </w:rPr>
                  </w:pPr>
                  <w:r>
                    <w:rPr>
                      <w:rFonts w:hint="eastAsia"/>
                      <w:color w:val="000000"/>
                      <w:lang w:val="en-US"/>
                    </w:rPr>
                    <w:t>切片工序</w:t>
                  </w:r>
                </w:p>
              </w:tc>
              <w:tc>
                <w:tcPr>
                  <w:tcW w:w="1991" w:type="dxa"/>
                  <w:shd w:val="clear" w:color="auto" w:fill="auto"/>
                  <w:vAlign w:val="center"/>
                </w:tcPr>
                <w:p>
                  <w:pPr>
                    <w:pStyle w:val="39"/>
                    <w:rPr>
                      <w:lang w:val="en-US"/>
                    </w:rPr>
                  </w:pPr>
                  <w:r>
                    <w:rPr>
                      <w:rFonts w:hint="eastAsia"/>
                      <w:color w:val="000000"/>
                      <w:lang w:val="en-US"/>
                    </w:rPr>
                    <w:t>不合格面罩</w:t>
                  </w:r>
                </w:p>
              </w:tc>
              <w:tc>
                <w:tcPr>
                  <w:tcW w:w="2846" w:type="dxa"/>
                  <w:vMerge w:val="continue"/>
                  <w:shd w:val="clear" w:color="auto" w:fill="auto"/>
                  <w:vAlign w:val="center"/>
                </w:tcPr>
                <w:p>
                  <w:pPr>
                    <w:pStyle w:val="39"/>
                    <w:rPr>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continue"/>
                  <w:shd w:val="clear" w:color="auto" w:fill="auto"/>
                  <w:vAlign w:val="center"/>
                </w:tcPr>
                <w:p>
                  <w:pPr>
                    <w:jc w:val="center"/>
                    <w:rPr>
                      <w:color w:val="000000"/>
                      <w:szCs w:val="21"/>
                    </w:rPr>
                  </w:pPr>
                </w:p>
              </w:tc>
              <w:tc>
                <w:tcPr>
                  <w:tcW w:w="715" w:type="dxa"/>
                  <w:vMerge w:val="continue"/>
                  <w:shd w:val="clear" w:color="auto" w:fill="auto"/>
                  <w:vAlign w:val="center"/>
                </w:tcPr>
                <w:p>
                  <w:pPr>
                    <w:pStyle w:val="39"/>
                    <w:rPr>
                      <w:lang w:val="en-US"/>
                    </w:rPr>
                  </w:pPr>
                </w:p>
              </w:tc>
              <w:tc>
                <w:tcPr>
                  <w:tcW w:w="1411" w:type="dxa"/>
                  <w:shd w:val="clear" w:color="auto" w:fill="auto"/>
                  <w:vAlign w:val="center"/>
                </w:tcPr>
                <w:p>
                  <w:pPr>
                    <w:pStyle w:val="39"/>
                    <w:rPr>
                      <w:lang w:val="en-US"/>
                    </w:rPr>
                  </w:pPr>
                  <w:r>
                    <w:rPr>
                      <w:rFonts w:hint="eastAsia"/>
                      <w:color w:val="000000"/>
                      <w:lang w:val="en-US"/>
                    </w:rPr>
                    <w:t>成品检验工序</w:t>
                  </w:r>
                </w:p>
              </w:tc>
              <w:tc>
                <w:tcPr>
                  <w:tcW w:w="1991" w:type="dxa"/>
                  <w:shd w:val="clear" w:color="auto" w:fill="auto"/>
                  <w:vAlign w:val="center"/>
                </w:tcPr>
                <w:p>
                  <w:pPr>
                    <w:pStyle w:val="39"/>
                    <w:rPr>
                      <w:lang w:val="en-US"/>
                    </w:rPr>
                  </w:pPr>
                  <w:r>
                    <w:rPr>
                      <w:rFonts w:hint="eastAsia"/>
                      <w:color w:val="000000"/>
                      <w:lang w:val="en-US"/>
                    </w:rPr>
                    <w:t>废</w:t>
                  </w:r>
                  <w:r>
                    <w:rPr>
                      <w:color w:val="000000"/>
                      <w:lang w:val="en-US"/>
                    </w:rPr>
                    <w:t>面料</w:t>
                  </w:r>
                </w:p>
              </w:tc>
              <w:tc>
                <w:tcPr>
                  <w:tcW w:w="2846" w:type="dxa"/>
                  <w:vMerge w:val="continue"/>
                  <w:shd w:val="clear" w:color="auto" w:fill="auto"/>
                  <w:vAlign w:val="center"/>
                </w:tcPr>
                <w:p>
                  <w:pPr>
                    <w:pStyle w:val="39"/>
                    <w:rPr>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2" w:type="dxa"/>
                  <w:vMerge w:val="continue"/>
                  <w:shd w:val="clear" w:color="auto" w:fill="auto"/>
                  <w:vAlign w:val="center"/>
                </w:tcPr>
                <w:p>
                  <w:pPr>
                    <w:jc w:val="center"/>
                    <w:rPr>
                      <w:color w:val="000000"/>
                      <w:szCs w:val="21"/>
                      <w:highlight w:val="yellow"/>
                    </w:rPr>
                  </w:pPr>
                </w:p>
              </w:tc>
              <w:tc>
                <w:tcPr>
                  <w:tcW w:w="715" w:type="dxa"/>
                  <w:shd w:val="clear" w:color="auto" w:fill="auto"/>
                  <w:vAlign w:val="center"/>
                </w:tcPr>
                <w:p>
                  <w:pPr>
                    <w:pStyle w:val="39"/>
                    <w:rPr>
                      <w:lang w:val="en-US"/>
                    </w:rPr>
                  </w:pPr>
                  <w:r>
                    <w:rPr>
                      <w:rFonts w:hint="eastAsia"/>
                      <w:lang w:val="en-US"/>
                    </w:rPr>
                    <w:t>危险废物</w:t>
                  </w:r>
                </w:p>
              </w:tc>
              <w:tc>
                <w:tcPr>
                  <w:tcW w:w="1411" w:type="dxa"/>
                  <w:shd w:val="clear" w:color="auto" w:fill="auto"/>
                  <w:vAlign w:val="center"/>
                </w:tcPr>
                <w:p>
                  <w:pPr>
                    <w:pStyle w:val="39"/>
                    <w:rPr>
                      <w:lang w:val="en-US"/>
                    </w:rPr>
                  </w:pPr>
                  <w:r>
                    <w:rPr>
                      <w:rFonts w:hint="eastAsia"/>
                      <w:color w:val="000000"/>
                      <w:lang w:val="en-US"/>
                    </w:rPr>
                    <w:t>水喷淋装置</w:t>
                  </w:r>
                </w:p>
              </w:tc>
              <w:tc>
                <w:tcPr>
                  <w:tcW w:w="1991" w:type="dxa"/>
                  <w:shd w:val="clear" w:color="auto" w:fill="auto"/>
                  <w:vAlign w:val="center"/>
                </w:tcPr>
                <w:p>
                  <w:pPr>
                    <w:pStyle w:val="39"/>
                    <w:rPr>
                      <w:lang w:val="en-US"/>
                    </w:rPr>
                  </w:pPr>
                  <w:r>
                    <w:rPr>
                      <w:rFonts w:hint="eastAsia"/>
                      <w:color w:val="000000"/>
                      <w:lang w:val="en-US"/>
                    </w:rPr>
                    <w:t>废环氧乙烷吸收液</w:t>
                  </w:r>
                </w:p>
              </w:tc>
              <w:tc>
                <w:tcPr>
                  <w:tcW w:w="2846" w:type="dxa"/>
                  <w:shd w:val="clear" w:color="auto" w:fill="auto"/>
                  <w:vAlign w:val="center"/>
                </w:tcPr>
                <w:p>
                  <w:pPr>
                    <w:pStyle w:val="39"/>
                    <w:rPr>
                      <w:lang w:val="en-US"/>
                    </w:rPr>
                  </w:pPr>
                  <w:r>
                    <w:rPr>
                      <w:color w:val="000000"/>
                      <w:lang w:val="en-US"/>
                    </w:rPr>
                    <w:t>危废贮存间暂存，定期委托有相应危废处置资质的单位处置</w:t>
                  </w:r>
                </w:p>
              </w:tc>
            </w:tr>
          </w:tbl>
          <w:p>
            <w:pPr>
              <w:spacing w:line="40" w:lineRule="exact"/>
              <w:textAlignment w:val="baseline"/>
              <w:rPr>
                <w:color w:val="000000"/>
                <w:sz w:val="24"/>
                <w:highlight w:val="yellow"/>
              </w:rPr>
            </w:pPr>
          </w:p>
          <w:p>
            <w:pPr>
              <w:adjustRightInd w:val="0"/>
              <w:snapToGrid w:val="0"/>
              <w:spacing w:line="460" w:lineRule="exact"/>
              <w:ind w:firstLine="480" w:firstLineChars="200"/>
              <w:rPr>
                <w:rFonts w:ascii="宋体" w:hAnsi="宋体"/>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4"/>
              <w:adjustRightInd w:val="0"/>
              <w:snapToGrid w:val="0"/>
              <w:spacing w:before="0" w:beforeAutospacing="0" w:after="0" w:afterAutospacing="0"/>
              <w:jc w:val="center"/>
              <w:rPr>
                <w:rFonts w:cs="宋体"/>
                <w:sz w:val="21"/>
                <w:szCs w:val="21"/>
                <w:lang w:val="en-US"/>
              </w:rPr>
            </w:pPr>
            <w:r>
              <w:rPr>
                <w:rFonts w:hint="eastAsia" w:cs="宋体"/>
                <w:bCs/>
                <w:kern w:val="2"/>
                <w:sz w:val="21"/>
                <w:szCs w:val="21"/>
                <w:lang w:val="en-US"/>
              </w:rPr>
              <w:t>与项目有关的原有环境污染问题</w:t>
            </w:r>
          </w:p>
        </w:tc>
        <w:tc>
          <w:tcPr>
            <w:tcW w:w="8161" w:type="dxa"/>
          </w:tcPr>
          <w:p>
            <w:pPr>
              <w:spacing w:line="460" w:lineRule="exact"/>
              <w:ind w:firstLine="482"/>
              <w:rPr>
                <w:bCs/>
                <w:color w:val="000000"/>
                <w:sz w:val="24"/>
              </w:rPr>
            </w:pPr>
            <w:r>
              <w:rPr>
                <w:rFonts w:hint="eastAsia"/>
                <w:bCs/>
                <w:color w:val="000000"/>
                <w:sz w:val="24"/>
              </w:rPr>
              <w:t>河南意诺康医疗器械有限公司位于新乡市获嘉县亢村镇产业新城纬八路2</w:t>
            </w:r>
            <w:r>
              <w:rPr>
                <w:bCs/>
                <w:color w:val="000000"/>
                <w:sz w:val="24"/>
              </w:rPr>
              <w:t>号</w:t>
            </w:r>
            <w:r>
              <w:rPr>
                <w:rFonts w:hint="eastAsia"/>
                <w:bCs/>
                <w:color w:val="000000"/>
                <w:sz w:val="24"/>
              </w:rPr>
              <w:t>，厂内现有工程为“</w:t>
            </w:r>
            <w:r>
              <w:rPr>
                <w:bCs/>
                <w:color w:val="000000"/>
                <w:sz w:val="24"/>
              </w:rPr>
              <w:t>年产2000万片贴剂和200万支抑菌剂项目</w:t>
            </w:r>
            <w:r>
              <w:rPr>
                <w:rFonts w:hint="eastAsia"/>
                <w:bCs/>
                <w:color w:val="000000"/>
                <w:sz w:val="24"/>
              </w:rPr>
              <w:t>”，该项目目前正在建设，审批情况见下表：</w:t>
            </w:r>
          </w:p>
          <w:p>
            <w:pPr>
              <w:spacing w:line="460" w:lineRule="exact"/>
              <w:ind w:firstLine="482"/>
              <w:rPr>
                <w:bCs/>
                <w:color w:val="000000"/>
                <w:sz w:val="24"/>
              </w:rPr>
            </w:pPr>
            <w:r>
              <w:rPr>
                <w:rFonts w:hint="eastAsia" w:eastAsia="黑体"/>
                <w:bCs/>
                <w:color w:val="000000"/>
                <w:sz w:val="24"/>
              </w:rPr>
              <w:t>表1</w:t>
            </w:r>
            <w:r>
              <w:rPr>
                <w:rFonts w:eastAsia="黑体"/>
                <w:bCs/>
                <w:color w:val="000000"/>
                <w:sz w:val="24"/>
              </w:rPr>
              <w:t xml:space="preserve">6                </w:t>
            </w:r>
            <w:r>
              <w:rPr>
                <w:rFonts w:hint="eastAsia" w:eastAsia="黑体"/>
                <w:bCs/>
                <w:color w:val="000000"/>
                <w:sz w:val="24"/>
              </w:rPr>
              <w:t>在建项目审批情况一览表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55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公司名称</w:t>
                  </w:r>
                </w:p>
              </w:tc>
              <w:tc>
                <w:tcPr>
                  <w:tcW w:w="5535" w:type="dxa"/>
                  <w:vAlign w:val="center"/>
                </w:tcPr>
                <w:p>
                  <w:pPr>
                    <w:jc w:val="center"/>
                    <w:rPr>
                      <w:szCs w:val="21"/>
                    </w:rPr>
                  </w:pPr>
                  <w:r>
                    <w:rPr>
                      <w:rFonts w:hint="eastAsia"/>
                      <w:bCs/>
                      <w:szCs w:val="21"/>
                    </w:rPr>
                    <w:t>河南意诺康医疗器械有限公司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项目名称</w:t>
                  </w:r>
                </w:p>
              </w:tc>
              <w:tc>
                <w:tcPr>
                  <w:tcW w:w="5535" w:type="dxa"/>
                  <w:vAlign w:val="center"/>
                </w:tcPr>
                <w:p>
                  <w:pPr>
                    <w:jc w:val="center"/>
                    <w:rPr>
                      <w:szCs w:val="21"/>
                    </w:rPr>
                  </w:pPr>
                  <w:r>
                    <w:rPr>
                      <w:bCs/>
                      <w:szCs w:val="21"/>
                    </w:rPr>
                    <w:t>年产2000万片贴剂和200万支抑菌剂项目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厂区位置</w:t>
                  </w:r>
                </w:p>
              </w:tc>
              <w:tc>
                <w:tcPr>
                  <w:tcW w:w="5535" w:type="dxa"/>
                  <w:vAlign w:val="center"/>
                </w:tcPr>
                <w:p>
                  <w:pPr>
                    <w:jc w:val="center"/>
                    <w:rPr>
                      <w:szCs w:val="21"/>
                    </w:rPr>
                  </w:pPr>
                  <w:r>
                    <w:rPr>
                      <w:rFonts w:hint="eastAsia"/>
                      <w:bCs/>
                      <w:szCs w:val="21"/>
                    </w:rPr>
                    <w:t>新乡市获嘉县亢村镇产业新城纬八路2</w:t>
                  </w:r>
                  <w:r>
                    <w:rPr>
                      <w:bCs/>
                      <w:szCs w:val="21"/>
                    </w:rPr>
                    <w:t>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产品方案</w:t>
                  </w:r>
                </w:p>
              </w:tc>
              <w:tc>
                <w:tcPr>
                  <w:tcW w:w="5535" w:type="dxa"/>
                  <w:vAlign w:val="center"/>
                </w:tcPr>
                <w:p>
                  <w:pPr>
                    <w:jc w:val="center"/>
                    <w:rPr>
                      <w:szCs w:val="21"/>
                    </w:rPr>
                  </w:pPr>
                  <w:r>
                    <w:rPr>
                      <w:rFonts w:hint="eastAsia"/>
                      <w:szCs w:val="21"/>
                    </w:rPr>
                    <w:t>贴剂：2000万片/年；抑菌剂：200万支/年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批复时间</w:t>
                  </w:r>
                </w:p>
              </w:tc>
              <w:tc>
                <w:tcPr>
                  <w:tcW w:w="5535" w:type="dxa"/>
                  <w:vAlign w:val="center"/>
                </w:tcPr>
                <w:p>
                  <w:pPr>
                    <w:jc w:val="center"/>
                    <w:rPr>
                      <w:szCs w:val="21"/>
                    </w:rPr>
                  </w:pPr>
                  <w:r>
                    <w:rPr>
                      <w:rFonts w:hint="eastAsia"/>
                      <w:szCs w:val="21"/>
                    </w:rPr>
                    <w:t>2</w:t>
                  </w:r>
                  <w:r>
                    <w:rPr>
                      <w:szCs w:val="21"/>
                    </w:rPr>
                    <w:t>020</w:t>
                  </w:r>
                  <w:r>
                    <w:rPr>
                      <w:rFonts w:hint="eastAsia"/>
                      <w:szCs w:val="21"/>
                    </w:rPr>
                    <w:t>年9月1</w:t>
                  </w:r>
                  <w:r>
                    <w:rPr>
                      <w:szCs w:val="21"/>
                    </w:rPr>
                    <w:t>7</w:t>
                  </w:r>
                  <w:r>
                    <w:rPr>
                      <w:rFonts w:hint="eastAsia"/>
                      <w:szCs w:val="21"/>
                    </w:rPr>
                    <w:t>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批复部门</w:t>
                  </w:r>
                </w:p>
              </w:tc>
              <w:tc>
                <w:tcPr>
                  <w:tcW w:w="5535" w:type="dxa"/>
                  <w:vAlign w:val="center"/>
                </w:tcPr>
                <w:p>
                  <w:pPr>
                    <w:jc w:val="center"/>
                    <w:rPr>
                      <w:szCs w:val="21"/>
                    </w:rPr>
                  </w:pPr>
                  <w:r>
                    <w:rPr>
                      <w:rFonts w:hint="eastAsia"/>
                      <w:szCs w:val="21"/>
                    </w:rPr>
                    <w:t>新乡市生态环境局获嘉分局</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批复文号</w:t>
                  </w:r>
                </w:p>
              </w:tc>
              <w:tc>
                <w:tcPr>
                  <w:tcW w:w="5535" w:type="dxa"/>
                  <w:vAlign w:val="center"/>
                </w:tcPr>
                <w:p>
                  <w:pPr>
                    <w:jc w:val="center"/>
                    <w:rPr>
                      <w:szCs w:val="21"/>
                    </w:rPr>
                  </w:pPr>
                  <w:r>
                    <w:rPr>
                      <w:rFonts w:hint="eastAsia"/>
                      <w:szCs w:val="21"/>
                    </w:rPr>
                    <w:t>获环监[</w:t>
                  </w:r>
                  <w:r>
                    <w:rPr>
                      <w:szCs w:val="21"/>
                    </w:rPr>
                    <w:t>2020]021</w:t>
                  </w:r>
                  <w:r>
                    <w:rPr>
                      <w:rFonts w:hint="eastAsia"/>
                      <w:szCs w:val="21"/>
                    </w:rPr>
                    <w:t>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排污许可证类别</w:t>
                  </w:r>
                </w:p>
              </w:tc>
              <w:tc>
                <w:tcPr>
                  <w:tcW w:w="5535" w:type="dxa"/>
                  <w:vMerge w:val="restart"/>
                  <w:vAlign w:val="center"/>
                </w:tcPr>
                <w:p>
                  <w:pPr>
                    <w:jc w:val="center"/>
                    <w:rPr>
                      <w:szCs w:val="21"/>
                    </w:rPr>
                  </w:pPr>
                  <w:r>
                    <w:rPr>
                      <w:rFonts w:hint="eastAsia"/>
                      <w:szCs w:val="21"/>
                    </w:rPr>
                    <w:t>该项目正在建设中，未申领排污许可证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排污许可证申领时间</w:t>
                  </w:r>
                </w:p>
              </w:tc>
              <w:tc>
                <w:tcPr>
                  <w:tcW w:w="5535"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dxa"/>
                  <w:vAlign w:val="center"/>
                </w:tcPr>
                <w:p>
                  <w:pPr>
                    <w:jc w:val="center"/>
                    <w:rPr>
                      <w:b/>
                      <w:szCs w:val="21"/>
                    </w:rPr>
                  </w:pPr>
                  <w:r>
                    <w:rPr>
                      <w:rFonts w:hAnsi="宋体"/>
                      <w:b/>
                      <w:szCs w:val="21"/>
                    </w:rPr>
                    <w:t>排污许可证有效期限</w:t>
                  </w:r>
                </w:p>
              </w:tc>
              <w:tc>
                <w:tcPr>
                  <w:tcW w:w="5535" w:type="dxa"/>
                  <w:vMerge w:val="continue"/>
                  <w:vAlign w:val="center"/>
                </w:tcPr>
                <w:p>
                  <w:pPr>
                    <w:jc w:val="center"/>
                    <w:rPr>
                      <w:szCs w:val="21"/>
                    </w:rPr>
                  </w:pPr>
                </w:p>
              </w:tc>
            </w:tr>
          </w:tbl>
          <w:p>
            <w:pPr>
              <w:adjustRightInd w:val="0"/>
              <w:snapToGrid w:val="0"/>
              <w:spacing w:line="460" w:lineRule="exact"/>
              <w:ind w:firstLine="482" w:firstLineChars="200"/>
              <w:rPr>
                <w:bCs/>
                <w:color w:val="000000"/>
                <w:sz w:val="24"/>
              </w:rPr>
            </w:pPr>
            <w:r>
              <w:rPr>
                <w:rFonts w:hint="eastAsia"/>
                <w:b/>
                <w:bCs/>
                <w:color w:val="000000"/>
                <w:sz w:val="24"/>
              </w:rPr>
              <w:t>一、在建工程污染情况</w:t>
            </w:r>
          </w:p>
          <w:p>
            <w:pPr>
              <w:adjustRightInd w:val="0"/>
              <w:snapToGrid w:val="0"/>
              <w:spacing w:line="460" w:lineRule="exact"/>
              <w:ind w:firstLine="480" w:firstLineChars="200"/>
              <w:rPr>
                <w:bCs/>
                <w:color w:val="000000"/>
                <w:sz w:val="24"/>
              </w:rPr>
            </w:pPr>
            <w:r>
              <w:rPr>
                <w:rFonts w:hint="eastAsia"/>
                <w:bCs/>
                <w:color w:val="000000"/>
                <w:sz w:val="24"/>
              </w:rPr>
              <w:t>由于该项目设备尚未安装，项目还未进行生产，不具备验收条件，根据其环评批复阐述其污染物排放情况分析如下：</w:t>
            </w:r>
          </w:p>
          <w:p>
            <w:pPr>
              <w:adjustRightInd w:val="0"/>
              <w:snapToGrid w:val="0"/>
              <w:spacing w:line="460" w:lineRule="exact"/>
              <w:ind w:firstLine="482" w:firstLineChars="200"/>
              <w:rPr>
                <w:b/>
                <w:color w:val="000000"/>
                <w:sz w:val="24"/>
              </w:rPr>
            </w:pPr>
            <w:r>
              <w:rPr>
                <w:rFonts w:hint="eastAsia"/>
                <w:b/>
                <w:color w:val="000000"/>
                <w:sz w:val="24"/>
              </w:rPr>
              <w:t>1、废水</w:t>
            </w:r>
          </w:p>
          <w:p>
            <w:pPr>
              <w:adjustRightInd w:val="0"/>
              <w:snapToGrid w:val="0"/>
              <w:spacing w:line="460" w:lineRule="exact"/>
              <w:ind w:firstLine="480" w:firstLineChars="200"/>
              <w:rPr>
                <w:color w:val="000000"/>
                <w:sz w:val="24"/>
              </w:rPr>
            </w:pPr>
            <w:r>
              <w:rPr>
                <w:rFonts w:hint="eastAsia"/>
                <w:color w:val="000000"/>
                <w:sz w:val="24"/>
              </w:rPr>
              <w:t>该项目产生的废水包括纯水制备浓水、生活污水。</w:t>
            </w:r>
            <w:r>
              <w:rPr>
                <w:rFonts w:hint="eastAsia"/>
                <w:bCs/>
                <w:color w:val="000000"/>
                <w:sz w:val="24"/>
              </w:rPr>
              <w:t>该项目</w:t>
            </w:r>
            <w:r>
              <w:rPr>
                <w:rFonts w:hint="eastAsia"/>
                <w:color w:val="000000"/>
                <w:sz w:val="24"/>
              </w:rPr>
              <w:t>纯水制备浓水用于冲厕，然后与其他生活污水一起经化粪池处理后排放至获嘉县亢村污水处理厂进一步处理。根据环评报告及批复，该项目废水排放量为</w:t>
            </w:r>
            <w:r>
              <w:rPr>
                <w:color w:val="000000"/>
                <w:sz w:val="24"/>
              </w:rPr>
              <w:t>2.16</w:t>
            </w:r>
            <w:r>
              <w:rPr>
                <w:rFonts w:hint="eastAsia"/>
                <w:color w:val="000000"/>
                <w:sz w:val="24"/>
              </w:rPr>
              <w:t>t</w:t>
            </w:r>
            <w:r>
              <w:rPr>
                <w:color w:val="000000"/>
                <w:sz w:val="24"/>
              </w:rPr>
              <w:t>/d</w:t>
            </w:r>
            <w:r>
              <w:rPr>
                <w:rFonts w:hint="eastAsia"/>
                <w:color w:val="000000"/>
                <w:sz w:val="24"/>
              </w:rPr>
              <w:t>，化粪池出水水质为：</w:t>
            </w:r>
            <w:r>
              <w:rPr>
                <w:bCs/>
                <w:color w:val="000000"/>
                <w:sz w:val="24"/>
              </w:rPr>
              <w:t>COD 250mg/L</w:t>
            </w:r>
            <w:r>
              <w:rPr>
                <w:rFonts w:hint="eastAsia"/>
                <w:bCs/>
                <w:color w:val="000000"/>
                <w:sz w:val="24"/>
              </w:rPr>
              <w:t>、</w:t>
            </w:r>
            <w:r>
              <w:rPr>
                <w:bCs/>
                <w:color w:val="000000"/>
                <w:sz w:val="24"/>
              </w:rPr>
              <w:t>SS 150mg/L</w:t>
            </w:r>
            <w:r>
              <w:rPr>
                <w:rFonts w:hint="eastAsia"/>
                <w:bCs/>
                <w:color w:val="000000"/>
                <w:sz w:val="24"/>
              </w:rPr>
              <w:t>、</w:t>
            </w:r>
            <w:r>
              <w:rPr>
                <w:bCs/>
                <w:color w:val="000000"/>
                <w:sz w:val="24"/>
              </w:rPr>
              <w:t>NH</w:t>
            </w:r>
            <w:r>
              <w:rPr>
                <w:bCs/>
                <w:color w:val="000000"/>
                <w:sz w:val="24"/>
                <w:vertAlign w:val="subscript"/>
              </w:rPr>
              <w:t>3</w:t>
            </w:r>
            <w:r>
              <w:rPr>
                <w:bCs/>
                <w:color w:val="000000"/>
                <w:sz w:val="24"/>
              </w:rPr>
              <w:t>-N 25mg/L</w:t>
            </w:r>
            <w:r>
              <w:rPr>
                <w:rFonts w:hint="eastAsia"/>
                <w:bCs/>
                <w:color w:val="000000"/>
                <w:sz w:val="24"/>
              </w:rPr>
              <w:t>、</w:t>
            </w:r>
            <w:r>
              <w:rPr>
                <w:bCs/>
                <w:color w:val="000000"/>
                <w:sz w:val="24"/>
              </w:rPr>
              <w:t>TP 3mg/L</w:t>
            </w:r>
            <w:r>
              <w:rPr>
                <w:rFonts w:hint="eastAsia"/>
                <w:bCs/>
                <w:color w:val="000000"/>
                <w:sz w:val="24"/>
              </w:rPr>
              <w:t>、</w:t>
            </w:r>
            <w:r>
              <w:rPr>
                <w:bCs/>
                <w:color w:val="000000"/>
                <w:sz w:val="24"/>
              </w:rPr>
              <w:t>TN 30mg/L</w:t>
            </w:r>
            <w:r>
              <w:rPr>
                <w:rFonts w:hint="eastAsia"/>
                <w:color w:val="000000"/>
                <w:sz w:val="24"/>
              </w:rPr>
              <w:t>，能够满足获嘉县亢村污水处理厂</w:t>
            </w:r>
            <w:r>
              <w:rPr>
                <w:color w:val="000000"/>
                <w:sz w:val="24"/>
              </w:rPr>
              <w:t>COD 350mg/L、SS 280mg/L、NH</w:t>
            </w:r>
            <w:r>
              <w:rPr>
                <w:color w:val="000000"/>
                <w:sz w:val="24"/>
                <w:vertAlign w:val="subscript"/>
              </w:rPr>
              <w:t>3</w:t>
            </w:r>
            <w:r>
              <w:rPr>
                <w:color w:val="000000"/>
                <w:sz w:val="24"/>
              </w:rPr>
              <w:t>-N 40mg/L、TP 5.0mg/L、TN 50mg/L的</w:t>
            </w:r>
            <w:r>
              <w:rPr>
                <w:rFonts w:hint="eastAsia"/>
                <w:color w:val="000000"/>
                <w:sz w:val="24"/>
              </w:rPr>
              <w:t>收水标准，废水经获嘉县亢村污水处理厂处理后排放，出水标准为</w:t>
            </w:r>
            <w:r>
              <w:rPr>
                <w:color w:val="000000"/>
                <w:sz w:val="24"/>
              </w:rPr>
              <w:t>COD</w:t>
            </w:r>
            <w:r>
              <w:rPr>
                <w:rFonts w:hint="eastAsia"/>
                <w:color w:val="000000"/>
                <w:sz w:val="24"/>
              </w:rPr>
              <w:t xml:space="preserve"> </w:t>
            </w:r>
            <w:r>
              <w:rPr>
                <w:color w:val="000000"/>
                <w:sz w:val="24"/>
              </w:rPr>
              <w:t>40mg/L</w:t>
            </w:r>
            <w:r>
              <w:rPr>
                <w:rFonts w:hint="eastAsia"/>
                <w:color w:val="000000"/>
                <w:sz w:val="24"/>
              </w:rPr>
              <w:t>、</w:t>
            </w:r>
            <w:r>
              <w:rPr>
                <w:color w:val="000000"/>
                <w:sz w:val="24"/>
              </w:rPr>
              <w:t>NH</w:t>
            </w:r>
            <w:r>
              <w:rPr>
                <w:color w:val="000000"/>
                <w:sz w:val="24"/>
                <w:vertAlign w:val="subscript"/>
              </w:rPr>
              <w:t>3</w:t>
            </w:r>
            <w:r>
              <w:rPr>
                <w:color w:val="000000"/>
                <w:sz w:val="24"/>
              </w:rPr>
              <w:t>-N 2mg/L</w:t>
            </w:r>
            <w:r>
              <w:rPr>
                <w:rFonts w:hint="eastAsia"/>
                <w:color w:val="000000"/>
                <w:sz w:val="24"/>
              </w:rPr>
              <w:t>、</w:t>
            </w:r>
            <w:r>
              <w:rPr>
                <w:color w:val="000000"/>
                <w:sz w:val="24"/>
              </w:rPr>
              <w:t>SS</w:t>
            </w:r>
            <w:r>
              <w:rPr>
                <w:rFonts w:hint="eastAsia"/>
                <w:color w:val="000000"/>
                <w:sz w:val="24"/>
              </w:rPr>
              <w:t xml:space="preserve"> </w:t>
            </w:r>
            <w:r>
              <w:rPr>
                <w:color w:val="000000"/>
                <w:sz w:val="24"/>
              </w:rPr>
              <w:t>10mg/L</w:t>
            </w:r>
            <w:r>
              <w:rPr>
                <w:rFonts w:hint="eastAsia"/>
                <w:color w:val="000000"/>
                <w:sz w:val="24"/>
              </w:rPr>
              <w:t>、</w:t>
            </w:r>
            <w:r>
              <w:rPr>
                <w:color w:val="000000"/>
                <w:sz w:val="24"/>
              </w:rPr>
              <w:t>TP 0.4mg/L</w:t>
            </w:r>
            <w:r>
              <w:rPr>
                <w:rFonts w:hint="eastAsia"/>
                <w:color w:val="000000"/>
                <w:sz w:val="24"/>
              </w:rPr>
              <w:t xml:space="preserve">、TN </w:t>
            </w:r>
            <w:r>
              <w:rPr>
                <w:color w:val="000000"/>
                <w:sz w:val="24"/>
              </w:rPr>
              <w:t>15mg/L</w:t>
            </w:r>
            <w:r>
              <w:rPr>
                <w:rFonts w:hint="eastAsia"/>
                <w:color w:val="000000"/>
                <w:sz w:val="24"/>
              </w:rPr>
              <w:t>。</w:t>
            </w:r>
          </w:p>
          <w:p>
            <w:pPr>
              <w:adjustRightInd w:val="0"/>
              <w:snapToGrid w:val="0"/>
              <w:spacing w:line="460" w:lineRule="exact"/>
              <w:ind w:firstLine="480" w:firstLineChars="200"/>
              <w:rPr>
                <w:color w:val="000000"/>
                <w:sz w:val="24"/>
              </w:rPr>
            </w:pPr>
            <w:r>
              <w:rPr>
                <w:rFonts w:hint="eastAsia"/>
                <w:color w:val="000000"/>
                <w:sz w:val="24"/>
              </w:rPr>
              <w:t>废水排放量为</w:t>
            </w:r>
            <w:r>
              <w:rPr>
                <w:color w:val="000000"/>
                <w:sz w:val="24"/>
              </w:rPr>
              <w:t>2.16</w:t>
            </w:r>
            <w:r>
              <w:rPr>
                <w:rFonts w:hint="eastAsia"/>
                <w:color w:val="000000"/>
                <w:sz w:val="24"/>
              </w:rPr>
              <w:t>t/d（</w:t>
            </w:r>
            <w:r>
              <w:rPr>
                <w:color w:val="000000"/>
                <w:sz w:val="24"/>
              </w:rPr>
              <w:t>604.8</w:t>
            </w:r>
            <w:r>
              <w:rPr>
                <w:rFonts w:hint="eastAsia"/>
                <w:color w:val="000000"/>
                <w:sz w:val="24"/>
              </w:rPr>
              <w:t xml:space="preserve">t/a），则废水污染物的排放量为COD </w:t>
            </w:r>
            <w:r>
              <w:rPr>
                <w:color w:val="000000"/>
                <w:sz w:val="24"/>
              </w:rPr>
              <w:t>0.0242</w:t>
            </w:r>
            <w:r>
              <w:rPr>
                <w:rFonts w:hint="eastAsia"/>
                <w:color w:val="000000"/>
                <w:sz w:val="24"/>
              </w:rPr>
              <w:t>t/a，NH</w:t>
            </w:r>
            <w:r>
              <w:rPr>
                <w:rFonts w:hint="eastAsia"/>
                <w:color w:val="000000"/>
                <w:sz w:val="24"/>
                <w:vertAlign w:val="subscript"/>
              </w:rPr>
              <w:t>3</w:t>
            </w:r>
            <w:r>
              <w:rPr>
                <w:rFonts w:hint="eastAsia"/>
                <w:color w:val="000000"/>
                <w:sz w:val="24"/>
              </w:rPr>
              <w:t xml:space="preserve">-N </w:t>
            </w:r>
            <w:r>
              <w:rPr>
                <w:color w:val="000000"/>
                <w:sz w:val="24"/>
              </w:rPr>
              <w:t>0.0012</w:t>
            </w:r>
            <w:r>
              <w:rPr>
                <w:rFonts w:hint="eastAsia"/>
                <w:color w:val="000000"/>
                <w:sz w:val="24"/>
              </w:rPr>
              <w:t xml:space="preserve">t/a，TP </w:t>
            </w:r>
            <w:r>
              <w:rPr>
                <w:color w:val="000000"/>
                <w:sz w:val="24"/>
              </w:rPr>
              <w:t>0.0002</w:t>
            </w:r>
            <w:r>
              <w:rPr>
                <w:rFonts w:hint="eastAsia"/>
                <w:color w:val="000000"/>
                <w:sz w:val="24"/>
              </w:rPr>
              <w:t xml:space="preserve">t/a，TN </w:t>
            </w:r>
            <w:r>
              <w:rPr>
                <w:color w:val="000000"/>
                <w:sz w:val="24"/>
              </w:rPr>
              <w:t>0.0091</w:t>
            </w:r>
            <w:r>
              <w:rPr>
                <w:rFonts w:hint="eastAsia"/>
                <w:color w:val="000000"/>
                <w:sz w:val="24"/>
              </w:rPr>
              <w:t>t/a。</w:t>
            </w:r>
          </w:p>
          <w:p>
            <w:pPr>
              <w:adjustRightInd w:val="0"/>
              <w:snapToGrid w:val="0"/>
              <w:spacing w:line="460" w:lineRule="exact"/>
              <w:ind w:firstLine="482" w:firstLineChars="200"/>
              <w:rPr>
                <w:b/>
                <w:color w:val="000000"/>
                <w:sz w:val="24"/>
              </w:rPr>
            </w:pPr>
            <w:r>
              <w:rPr>
                <w:rFonts w:hint="eastAsia"/>
                <w:b/>
                <w:color w:val="000000"/>
                <w:sz w:val="24"/>
              </w:rPr>
              <w:t>2、废气</w:t>
            </w:r>
          </w:p>
          <w:p>
            <w:pPr>
              <w:adjustRightInd w:val="0"/>
              <w:snapToGrid w:val="0"/>
              <w:spacing w:line="460" w:lineRule="exact"/>
              <w:ind w:firstLine="480" w:firstLineChars="200"/>
              <w:rPr>
                <w:color w:val="000000"/>
                <w:sz w:val="24"/>
              </w:rPr>
            </w:pPr>
            <w:r>
              <w:rPr>
                <w:rFonts w:hint="eastAsia"/>
                <w:color w:val="000000"/>
                <w:sz w:val="24"/>
              </w:rPr>
              <w:t>（1）有组织废气</w:t>
            </w:r>
          </w:p>
          <w:p>
            <w:pPr>
              <w:adjustRightInd w:val="0"/>
              <w:snapToGrid w:val="0"/>
              <w:spacing w:line="460" w:lineRule="exact"/>
              <w:ind w:firstLine="480" w:firstLineChars="200"/>
              <w:rPr>
                <w:color w:val="000000"/>
                <w:sz w:val="24"/>
              </w:rPr>
            </w:pPr>
            <w:r>
              <w:rPr>
                <w:rFonts w:hint="eastAsia"/>
                <w:color w:val="000000"/>
                <w:sz w:val="24"/>
              </w:rPr>
              <w:t>该项目废气主要为配料、投料工序产生的颗粒物，酒精及二苯醚挥发、溶胶及涂布工序产生的有机废气（以非甲烷总烃计）。配料、投料、酒精及二苯醚挥发、溶胶及涂布废气均经集气罩收集后一起引入袋式除尘器+</w:t>
            </w:r>
            <w:r>
              <w:rPr>
                <w:color w:val="000000"/>
                <w:sz w:val="24"/>
              </w:rPr>
              <w:t>UV</w:t>
            </w:r>
            <w:r>
              <w:rPr>
                <w:rFonts w:hint="eastAsia"/>
                <w:color w:val="000000"/>
                <w:sz w:val="24"/>
              </w:rPr>
              <w:t>光氧催化装置+活性炭吸附装置处理，处理后尾气经1根</w:t>
            </w:r>
            <w:r>
              <w:rPr>
                <w:color w:val="000000"/>
                <w:sz w:val="24"/>
              </w:rPr>
              <w:t>15</w:t>
            </w:r>
            <w:r>
              <w:rPr>
                <w:rFonts w:hint="eastAsia"/>
                <w:color w:val="000000"/>
                <w:sz w:val="24"/>
              </w:rPr>
              <w:t>m高的排气筒P</w:t>
            </w:r>
            <w:r>
              <w:rPr>
                <w:color w:val="000000"/>
                <w:sz w:val="24"/>
              </w:rPr>
              <w:t>1</w:t>
            </w:r>
            <w:r>
              <w:rPr>
                <w:rFonts w:hint="eastAsia"/>
                <w:color w:val="000000"/>
                <w:sz w:val="24"/>
              </w:rPr>
              <w:t>排放。根据环评报告及批复，</w:t>
            </w:r>
            <w:r>
              <w:rPr>
                <w:rFonts w:hint="eastAsia"/>
                <w:bCs/>
                <w:color w:val="000000"/>
                <w:sz w:val="24"/>
                <w:lang w:val="zh-CN"/>
              </w:rPr>
              <w:t>颗粒物排放量为0</w:t>
            </w:r>
            <w:r>
              <w:rPr>
                <w:bCs/>
                <w:color w:val="000000"/>
                <w:sz w:val="24"/>
                <w:lang w:val="zh-CN"/>
              </w:rPr>
              <w:t>.0575t/a</w:t>
            </w:r>
            <w:r>
              <w:rPr>
                <w:rFonts w:hint="eastAsia"/>
                <w:bCs/>
                <w:color w:val="000000"/>
                <w:sz w:val="24"/>
                <w:lang w:val="zh-CN"/>
              </w:rPr>
              <w:t>、</w:t>
            </w:r>
            <w:r>
              <w:rPr>
                <w:rFonts w:hint="eastAsia"/>
                <w:color w:val="000000"/>
                <w:sz w:val="24"/>
              </w:rPr>
              <w:t>排放速率为</w:t>
            </w:r>
            <w:r>
              <w:rPr>
                <w:color w:val="000000"/>
                <w:sz w:val="24"/>
              </w:rPr>
              <w:t>0.0257kg/h</w:t>
            </w:r>
            <w:r>
              <w:rPr>
                <w:rFonts w:hint="eastAsia"/>
                <w:color w:val="000000"/>
                <w:sz w:val="24"/>
              </w:rPr>
              <w:t>、排放浓度为</w:t>
            </w:r>
            <w:r>
              <w:rPr>
                <w:color w:val="000000"/>
                <w:sz w:val="24"/>
              </w:rPr>
              <w:t>2.7mg/m</w:t>
            </w:r>
            <w:r>
              <w:rPr>
                <w:color w:val="000000"/>
                <w:sz w:val="24"/>
                <w:vertAlign w:val="superscript"/>
              </w:rPr>
              <w:t>3</w:t>
            </w:r>
            <w:r>
              <w:rPr>
                <w:rFonts w:hint="eastAsia"/>
                <w:color w:val="000000"/>
                <w:sz w:val="24"/>
              </w:rPr>
              <w:t>，《新乡市生态环境局关于进一步规范工业企业颗粒物排放限值的通知》有组织颗粒物排放浓度10mg/m</w:t>
            </w:r>
            <w:r>
              <w:rPr>
                <w:rFonts w:hint="eastAsia"/>
                <w:color w:val="000000"/>
                <w:sz w:val="24"/>
                <w:vertAlign w:val="superscript"/>
              </w:rPr>
              <w:t>3</w:t>
            </w:r>
            <w:r>
              <w:rPr>
                <w:rFonts w:hint="eastAsia"/>
                <w:color w:val="000000"/>
                <w:sz w:val="24"/>
              </w:rPr>
              <w:t>的标准限值；</w:t>
            </w:r>
            <w:r>
              <w:rPr>
                <w:rFonts w:hint="eastAsia"/>
                <w:bCs/>
                <w:color w:val="000000"/>
                <w:sz w:val="24"/>
                <w:lang w:val="zh-CN"/>
              </w:rPr>
              <w:t>非甲烷总烃排放量为0</w:t>
            </w:r>
            <w:r>
              <w:rPr>
                <w:bCs/>
                <w:color w:val="000000"/>
                <w:sz w:val="24"/>
                <w:lang w:val="zh-CN"/>
              </w:rPr>
              <w:t>.1261t/a</w:t>
            </w:r>
            <w:r>
              <w:rPr>
                <w:rFonts w:hint="eastAsia"/>
                <w:bCs/>
                <w:color w:val="000000"/>
                <w:sz w:val="24"/>
                <w:lang w:val="zh-CN"/>
              </w:rPr>
              <w:t>、</w:t>
            </w:r>
            <w:r>
              <w:rPr>
                <w:rFonts w:hint="eastAsia"/>
                <w:color w:val="000000"/>
                <w:sz w:val="24"/>
              </w:rPr>
              <w:t>排放速率为</w:t>
            </w:r>
            <w:r>
              <w:rPr>
                <w:color w:val="000000"/>
                <w:sz w:val="24"/>
              </w:rPr>
              <w:t>0.0563kg/h</w:t>
            </w:r>
            <w:r>
              <w:rPr>
                <w:rFonts w:hint="eastAsia"/>
                <w:color w:val="000000"/>
                <w:sz w:val="24"/>
              </w:rPr>
              <w:t>，排放浓度为</w:t>
            </w:r>
            <w:r>
              <w:rPr>
                <w:color w:val="000000"/>
                <w:sz w:val="24"/>
              </w:rPr>
              <w:t>5.9mg/m</w:t>
            </w:r>
            <w:r>
              <w:rPr>
                <w:color w:val="000000"/>
                <w:sz w:val="24"/>
                <w:vertAlign w:val="superscript"/>
              </w:rPr>
              <w:t>3</w:t>
            </w:r>
            <w:r>
              <w:rPr>
                <w:rFonts w:hint="eastAsia"/>
                <w:color w:val="000000"/>
                <w:sz w:val="24"/>
              </w:rPr>
              <w:t>，</w:t>
            </w:r>
            <w:r>
              <w:rPr>
                <w:rFonts w:hint="eastAsia"/>
                <w:bCs/>
                <w:color w:val="000000"/>
                <w:sz w:val="24"/>
              </w:rPr>
              <w:t>排放浓度</w:t>
            </w:r>
            <w:r>
              <w:rPr>
                <w:color w:val="000000"/>
                <w:sz w:val="24"/>
              </w:rPr>
              <w:t>能够满足</w:t>
            </w:r>
            <w:r>
              <w:rPr>
                <w:rFonts w:hint="eastAsia"/>
                <w:bCs/>
                <w:sz w:val="24"/>
              </w:rPr>
              <w:t>《制药工业大气污染物排放标准》（</w:t>
            </w:r>
            <w:r>
              <w:rPr>
                <w:bCs/>
                <w:sz w:val="24"/>
              </w:rPr>
              <w:t>GB37823-2019</w:t>
            </w:r>
            <w:r>
              <w:rPr>
                <w:rFonts w:hint="eastAsia"/>
                <w:bCs/>
                <w:sz w:val="24"/>
              </w:rPr>
              <w:t>）表</w:t>
            </w:r>
            <w:r>
              <w:rPr>
                <w:bCs/>
                <w:sz w:val="24"/>
              </w:rPr>
              <w:t>2</w:t>
            </w:r>
            <w:r>
              <w:rPr>
                <w:rFonts w:hint="eastAsia"/>
                <w:bCs/>
                <w:sz w:val="24"/>
              </w:rPr>
              <w:t>其他制药工艺废气</w:t>
            </w:r>
            <w:r>
              <w:rPr>
                <w:bCs/>
                <w:sz w:val="24"/>
              </w:rPr>
              <w:t>60mg/ m</w:t>
            </w:r>
            <w:r>
              <w:rPr>
                <w:bCs/>
                <w:sz w:val="24"/>
                <w:vertAlign w:val="superscript"/>
              </w:rPr>
              <w:t>3</w:t>
            </w:r>
            <w:r>
              <w:rPr>
                <w:rFonts w:hint="eastAsia"/>
                <w:bCs/>
                <w:sz w:val="24"/>
              </w:rPr>
              <w:t>的限值要求、同时满足《关于全省开展工业企业挥发性有机物专项治理工作中排放建议值的通知》（豫环攻坚办（</w:t>
            </w:r>
            <w:r>
              <w:rPr>
                <w:bCs/>
                <w:sz w:val="24"/>
              </w:rPr>
              <w:t>2017</w:t>
            </w:r>
            <w:r>
              <w:rPr>
                <w:rFonts w:hint="eastAsia"/>
                <w:bCs/>
                <w:sz w:val="24"/>
              </w:rPr>
              <w:t>）</w:t>
            </w:r>
            <w:r>
              <w:rPr>
                <w:bCs/>
                <w:sz w:val="24"/>
              </w:rPr>
              <w:t>162</w:t>
            </w:r>
            <w:r>
              <w:rPr>
                <w:rFonts w:hint="eastAsia"/>
                <w:bCs/>
                <w:sz w:val="24"/>
              </w:rPr>
              <w:t>号）中其他行业有机废气排放口非甲烷总烃</w:t>
            </w:r>
            <w:r>
              <w:rPr>
                <w:bCs/>
                <w:sz w:val="24"/>
              </w:rPr>
              <w:t>6</w:t>
            </w:r>
            <w:r>
              <w:rPr>
                <w:rFonts w:hint="eastAsia"/>
                <w:bCs/>
                <w:sz w:val="24"/>
              </w:rPr>
              <w:t>0mg/m</w:t>
            </w:r>
            <w:r>
              <w:rPr>
                <w:rFonts w:hint="eastAsia"/>
                <w:bCs/>
                <w:sz w:val="24"/>
                <w:vertAlign w:val="superscript"/>
              </w:rPr>
              <w:t>3</w:t>
            </w:r>
            <w:r>
              <w:rPr>
                <w:rFonts w:hint="eastAsia"/>
                <w:bCs/>
                <w:sz w:val="24"/>
              </w:rPr>
              <w:t>的限值要求</w:t>
            </w:r>
            <w:r>
              <w:rPr>
                <w:color w:val="000000"/>
                <w:sz w:val="24"/>
              </w:rPr>
              <w:t>。</w:t>
            </w:r>
          </w:p>
          <w:p>
            <w:pPr>
              <w:adjustRightInd w:val="0"/>
              <w:snapToGrid w:val="0"/>
              <w:spacing w:line="460" w:lineRule="exact"/>
              <w:ind w:firstLine="480" w:firstLineChars="200"/>
              <w:rPr>
                <w:color w:val="000000"/>
                <w:sz w:val="24"/>
              </w:rPr>
            </w:pPr>
            <w:r>
              <w:rPr>
                <w:rFonts w:hint="eastAsia"/>
                <w:color w:val="000000"/>
                <w:sz w:val="24"/>
              </w:rPr>
              <w:t>（2）无组织废气</w:t>
            </w:r>
          </w:p>
          <w:p>
            <w:pPr>
              <w:pStyle w:val="46"/>
              <w:adjustRightInd w:val="0"/>
              <w:snapToGrid w:val="0"/>
              <w:spacing w:line="460" w:lineRule="exact"/>
              <w:ind w:firstLine="200"/>
              <w:rPr>
                <w:color w:val="000000"/>
                <w:sz w:val="24"/>
              </w:rPr>
            </w:pPr>
            <w:r>
              <w:rPr>
                <w:rFonts w:hint="eastAsia"/>
                <w:sz w:val="24"/>
              </w:rPr>
              <w:t>经预测，该项目</w:t>
            </w:r>
            <w:r>
              <w:rPr>
                <w:rFonts w:hint="eastAsia"/>
                <w:sz w:val="24"/>
                <w:lang w:val="pt-BR"/>
              </w:rPr>
              <w:t>颗粒物</w:t>
            </w:r>
            <w:r>
              <w:rPr>
                <w:rFonts w:hint="eastAsia"/>
                <w:sz w:val="24"/>
              </w:rPr>
              <w:t>排放在各个厂界的浓度贡献值均不超标，能够满足《新乡市生态环境局关于进一步规范工业企业颗粒物排放限值的通知》无组织颗粒物排放浓度0.5mg/m</w:t>
            </w:r>
            <w:r>
              <w:rPr>
                <w:rFonts w:hint="eastAsia"/>
                <w:sz w:val="24"/>
                <w:vertAlign w:val="superscript"/>
              </w:rPr>
              <w:t>3</w:t>
            </w:r>
            <w:r>
              <w:rPr>
                <w:rFonts w:hint="eastAsia"/>
                <w:sz w:val="24"/>
              </w:rPr>
              <w:t>的标准限值；</w:t>
            </w:r>
            <w:r>
              <w:rPr>
                <w:rFonts w:hint="eastAsia"/>
                <w:sz w:val="24"/>
                <w:lang w:val="pt-BR"/>
              </w:rPr>
              <w:t>非甲烷总烃</w:t>
            </w:r>
            <w:r>
              <w:rPr>
                <w:rFonts w:hint="eastAsia"/>
                <w:sz w:val="24"/>
              </w:rPr>
              <w:t>排放在各个厂界的浓度贡献值均不超标，能够满足河南省环境污染防治攻坚战领导小组办公室文件（豫环攻坚办[2017]162号）《关于全省开展工业企业挥发性有机物专项治理工作中排放建议值的通知》附件2工业企业挥发性有机物边界排放浓度2.0mg/m</w:t>
            </w:r>
            <w:r>
              <w:rPr>
                <w:rFonts w:hint="eastAsia"/>
                <w:sz w:val="24"/>
                <w:vertAlign w:val="superscript"/>
              </w:rPr>
              <w:t>3</w:t>
            </w:r>
            <w:r>
              <w:rPr>
                <w:rFonts w:hint="eastAsia"/>
                <w:sz w:val="24"/>
              </w:rPr>
              <w:t>的排放限值要求。</w:t>
            </w:r>
            <w:r>
              <w:rPr>
                <w:rFonts w:hint="eastAsia"/>
                <w:color w:val="000000"/>
                <w:sz w:val="24"/>
              </w:rPr>
              <w:t>根据环评报告及批复，</w:t>
            </w:r>
            <w:r>
              <w:rPr>
                <w:color w:val="000000"/>
                <w:sz w:val="24"/>
                <w:lang w:val="en-US"/>
              </w:rPr>
              <w:t>无组织</w:t>
            </w:r>
            <w:r>
              <w:rPr>
                <w:rFonts w:hint="eastAsia"/>
                <w:color w:val="000000"/>
                <w:sz w:val="24"/>
              </w:rPr>
              <w:t>废气</w:t>
            </w:r>
            <w:r>
              <w:rPr>
                <w:color w:val="000000"/>
                <w:sz w:val="24"/>
                <w:lang w:val="en-US"/>
              </w:rPr>
              <w:t>排放量为</w:t>
            </w:r>
            <w:r>
              <w:rPr>
                <w:rFonts w:hint="eastAsia"/>
                <w:color w:val="000000"/>
                <w:sz w:val="24"/>
                <w:lang w:val="en-US"/>
              </w:rPr>
              <w:t>颗粒物</w:t>
            </w:r>
            <w:r>
              <w:rPr>
                <w:color w:val="000000"/>
                <w:sz w:val="24"/>
                <w:lang w:val="en-US"/>
              </w:rPr>
              <w:t>0.</w:t>
            </w:r>
            <w:r>
              <w:rPr>
                <w:rFonts w:hint="eastAsia"/>
                <w:color w:val="000000"/>
                <w:sz w:val="24"/>
                <w:lang w:val="en-US"/>
              </w:rPr>
              <w:t>0639</w:t>
            </w:r>
            <w:r>
              <w:rPr>
                <w:color w:val="000000"/>
                <w:sz w:val="24"/>
                <w:lang w:val="en-US"/>
              </w:rPr>
              <w:t>t/a</w:t>
            </w:r>
            <w:r>
              <w:rPr>
                <w:rFonts w:hint="eastAsia"/>
                <w:color w:val="000000"/>
                <w:sz w:val="24"/>
                <w:lang w:val="en-US"/>
              </w:rPr>
              <w:t>、非甲烷总烃0.07</w:t>
            </w:r>
            <w:r>
              <w:rPr>
                <w:color w:val="000000"/>
                <w:sz w:val="24"/>
                <w:lang w:val="en-US"/>
              </w:rPr>
              <w:t>t/a。</w:t>
            </w:r>
          </w:p>
          <w:p>
            <w:pPr>
              <w:adjustRightInd w:val="0"/>
              <w:snapToGrid w:val="0"/>
              <w:spacing w:line="460" w:lineRule="exact"/>
              <w:ind w:firstLine="482" w:firstLineChars="200"/>
              <w:rPr>
                <w:b/>
                <w:color w:val="000000"/>
                <w:sz w:val="24"/>
              </w:rPr>
            </w:pPr>
            <w:r>
              <w:rPr>
                <w:rFonts w:hint="eastAsia"/>
                <w:b/>
                <w:color w:val="000000"/>
                <w:sz w:val="24"/>
              </w:rPr>
              <w:t>3、噪声</w:t>
            </w:r>
          </w:p>
          <w:p>
            <w:pPr>
              <w:adjustRightInd w:val="0"/>
              <w:snapToGrid w:val="0"/>
              <w:spacing w:line="460" w:lineRule="exact"/>
              <w:ind w:firstLine="480" w:firstLineChars="200"/>
              <w:rPr>
                <w:color w:val="000000"/>
                <w:sz w:val="24"/>
              </w:rPr>
            </w:pPr>
            <w:r>
              <w:rPr>
                <w:rFonts w:hint="eastAsia"/>
                <w:color w:val="000000"/>
                <w:sz w:val="24"/>
              </w:rPr>
              <w:t>现有工程噪声源主要为</w:t>
            </w:r>
            <w:r>
              <w:rPr>
                <w:rFonts w:hint="eastAsia"/>
                <w:bCs/>
                <w:color w:val="000000"/>
                <w:sz w:val="24"/>
              </w:rPr>
              <w:t>横切机、灌装机、封口机</w:t>
            </w:r>
            <w:r>
              <w:rPr>
                <w:rFonts w:hint="eastAsia"/>
                <w:color w:val="000000"/>
                <w:sz w:val="24"/>
              </w:rPr>
              <w:t>等设备，采取设备减振、厂房隔声等措施后能够达标排放。根据环评报告及批复</w:t>
            </w:r>
            <w:r>
              <w:rPr>
                <w:rFonts w:hint="eastAsia"/>
                <w:bCs/>
                <w:color w:val="000000"/>
                <w:sz w:val="24"/>
              </w:rPr>
              <w:t>，</w:t>
            </w:r>
            <w:r>
              <w:rPr>
                <w:rFonts w:hint="eastAsia"/>
                <w:color w:val="000000"/>
                <w:sz w:val="24"/>
              </w:rPr>
              <w:t>东、南、西、北各</w:t>
            </w:r>
            <w:r>
              <w:rPr>
                <w:color w:val="000000"/>
                <w:sz w:val="24"/>
              </w:rPr>
              <w:t>厂界</w:t>
            </w:r>
            <w:r>
              <w:rPr>
                <w:rFonts w:hint="eastAsia"/>
                <w:color w:val="000000"/>
                <w:sz w:val="24"/>
              </w:rPr>
              <w:t>噪声贡献值为</w:t>
            </w:r>
            <w:r>
              <w:rPr>
                <w:color w:val="000000"/>
                <w:sz w:val="24"/>
              </w:rPr>
              <w:t>29.87</w:t>
            </w:r>
            <w:r>
              <w:rPr>
                <w:rFonts w:hint="eastAsia"/>
                <w:color w:val="000000"/>
                <w:sz w:val="24"/>
              </w:rPr>
              <w:t>~</w:t>
            </w:r>
            <w:r>
              <w:rPr>
                <w:color w:val="000000"/>
                <w:sz w:val="24"/>
              </w:rPr>
              <w:t>47.42dB</w:t>
            </w:r>
            <w:r>
              <w:rPr>
                <w:rFonts w:hint="eastAsia"/>
                <w:color w:val="000000"/>
                <w:sz w:val="24"/>
              </w:rPr>
              <w:t>(</w:t>
            </w:r>
            <w:r>
              <w:rPr>
                <w:color w:val="000000"/>
                <w:sz w:val="24"/>
              </w:rPr>
              <w:t>A</w:t>
            </w:r>
            <w:r>
              <w:rPr>
                <w:rFonts w:hint="eastAsia"/>
                <w:color w:val="000000"/>
                <w:sz w:val="24"/>
              </w:rPr>
              <w:t>)，能够满足《工业企业厂界环境噪声排放标准》（</w:t>
            </w:r>
            <w:r>
              <w:rPr>
                <w:color w:val="000000"/>
                <w:sz w:val="24"/>
              </w:rPr>
              <w:t>GB12348-2008</w:t>
            </w:r>
            <w:r>
              <w:rPr>
                <w:rFonts w:hint="eastAsia"/>
                <w:color w:val="000000"/>
                <w:sz w:val="24"/>
              </w:rPr>
              <w:t>）</w:t>
            </w:r>
            <w:r>
              <w:rPr>
                <w:color w:val="000000"/>
                <w:sz w:val="24"/>
              </w:rPr>
              <w:t>3</w:t>
            </w:r>
            <w:r>
              <w:rPr>
                <w:rFonts w:hint="eastAsia"/>
                <w:color w:val="000000"/>
                <w:sz w:val="24"/>
              </w:rPr>
              <w:t>类区昼间</w:t>
            </w:r>
            <w:r>
              <w:rPr>
                <w:color w:val="000000"/>
                <w:sz w:val="24"/>
              </w:rPr>
              <w:t>65dB(A)</w:t>
            </w:r>
            <w:r>
              <w:rPr>
                <w:rFonts w:hint="eastAsia"/>
                <w:color w:val="000000"/>
                <w:sz w:val="24"/>
              </w:rPr>
              <w:t>的标准限值要求。</w:t>
            </w:r>
          </w:p>
          <w:p>
            <w:pPr>
              <w:adjustRightInd w:val="0"/>
              <w:snapToGrid w:val="0"/>
              <w:spacing w:line="460" w:lineRule="exact"/>
              <w:ind w:firstLine="482" w:firstLineChars="200"/>
              <w:rPr>
                <w:b/>
                <w:color w:val="000000"/>
                <w:sz w:val="24"/>
              </w:rPr>
            </w:pPr>
            <w:r>
              <w:rPr>
                <w:rFonts w:hint="eastAsia"/>
                <w:b/>
                <w:color w:val="000000"/>
                <w:sz w:val="24"/>
              </w:rPr>
              <w:t>4、固废</w:t>
            </w:r>
          </w:p>
          <w:p>
            <w:pPr>
              <w:adjustRightInd w:val="0"/>
              <w:snapToGrid w:val="0"/>
              <w:spacing w:line="460" w:lineRule="exact"/>
              <w:ind w:firstLine="480" w:firstLineChars="200"/>
              <w:rPr>
                <w:color w:val="000000"/>
                <w:sz w:val="24"/>
              </w:rPr>
            </w:pPr>
            <w:r>
              <w:rPr>
                <w:rFonts w:hint="eastAsia"/>
                <w:color w:val="000000"/>
                <w:sz w:val="24"/>
              </w:rPr>
              <w:t>根据环评报告及批复</w:t>
            </w:r>
            <w:r>
              <w:rPr>
                <w:rFonts w:hint="eastAsia"/>
                <w:bCs/>
                <w:color w:val="000000"/>
                <w:sz w:val="24"/>
              </w:rPr>
              <w:t>，</w:t>
            </w:r>
            <w:r>
              <w:rPr>
                <w:rFonts w:hint="eastAsia"/>
                <w:color w:val="000000"/>
                <w:sz w:val="24"/>
              </w:rPr>
              <w:t>该项目一般固废主要为</w:t>
            </w:r>
            <w:r>
              <w:rPr>
                <w:rFonts w:hint="eastAsia"/>
                <w:sz w:val="24"/>
              </w:rPr>
              <w:t>废包装</w:t>
            </w:r>
            <w:r>
              <w:rPr>
                <w:rFonts w:hint="eastAsia"/>
                <w:sz w:val="24"/>
                <w:szCs w:val="21"/>
              </w:rPr>
              <w:t>材料0</w:t>
            </w:r>
            <w:r>
              <w:rPr>
                <w:sz w:val="24"/>
                <w:szCs w:val="21"/>
              </w:rPr>
              <w:t>.8t/a</w:t>
            </w:r>
            <w:r>
              <w:rPr>
                <w:rFonts w:hint="eastAsia"/>
                <w:color w:val="000000"/>
                <w:sz w:val="24"/>
              </w:rPr>
              <w:t>、</w:t>
            </w:r>
            <w:r>
              <w:rPr>
                <w:rFonts w:hint="eastAsia"/>
                <w:sz w:val="24"/>
              </w:rPr>
              <w:t>废边角料0</w:t>
            </w:r>
            <w:r>
              <w:rPr>
                <w:sz w:val="24"/>
              </w:rPr>
              <w:t>.5t/a</w:t>
            </w:r>
            <w:r>
              <w:rPr>
                <w:rFonts w:hint="eastAsia"/>
                <w:sz w:val="24"/>
              </w:rPr>
              <w:t>、</w:t>
            </w:r>
            <w:r>
              <w:rPr>
                <w:rFonts w:hint="eastAsia"/>
                <w:sz w:val="24"/>
                <w:szCs w:val="21"/>
              </w:rPr>
              <w:t>不合格品0</w:t>
            </w:r>
            <w:r>
              <w:rPr>
                <w:sz w:val="24"/>
                <w:szCs w:val="21"/>
              </w:rPr>
              <w:t>.4t/a</w:t>
            </w:r>
            <w:r>
              <w:rPr>
                <w:rFonts w:hint="eastAsia"/>
                <w:sz w:val="24"/>
                <w:szCs w:val="21"/>
              </w:rPr>
              <w:t>、废过滤网1</w:t>
            </w:r>
            <w:r>
              <w:rPr>
                <w:sz w:val="24"/>
                <w:szCs w:val="21"/>
              </w:rPr>
              <w:t>90</w:t>
            </w:r>
            <w:r>
              <w:rPr>
                <w:rFonts w:hint="eastAsia"/>
                <w:sz w:val="24"/>
                <w:szCs w:val="21"/>
              </w:rPr>
              <w:t>个/</w:t>
            </w:r>
            <w:r>
              <w:rPr>
                <w:sz w:val="24"/>
                <w:szCs w:val="21"/>
              </w:rPr>
              <w:t>a</w:t>
            </w:r>
            <w:r>
              <w:rPr>
                <w:rFonts w:hint="eastAsia"/>
                <w:sz w:val="24"/>
                <w:szCs w:val="21"/>
              </w:rPr>
              <w:t>、</w:t>
            </w:r>
            <w:r>
              <w:rPr>
                <w:rFonts w:hint="eastAsia"/>
                <w:bCs/>
                <w:sz w:val="24"/>
              </w:rPr>
              <w:t>袋式除尘器集尘0</w:t>
            </w:r>
            <w:r>
              <w:rPr>
                <w:bCs/>
                <w:sz w:val="24"/>
              </w:rPr>
              <w:t>.517t/a</w:t>
            </w:r>
            <w:r>
              <w:rPr>
                <w:rFonts w:hint="eastAsia"/>
                <w:bCs/>
                <w:sz w:val="24"/>
              </w:rPr>
              <w:t>、</w:t>
            </w:r>
            <w:r>
              <w:rPr>
                <w:rFonts w:hint="eastAsia"/>
                <w:sz w:val="24"/>
              </w:rPr>
              <w:t>废抹布0</w:t>
            </w:r>
            <w:r>
              <w:rPr>
                <w:sz w:val="24"/>
              </w:rPr>
              <w:t>.3t/a</w:t>
            </w:r>
            <w:r>
              <w:rPr>
                <w:rFonts w:hint="eastAsia"/>
                <w:color w:val="000000"/>
                <w:sz w:val="24"/>
              </w:rPr>
              <w:t>，危险废物主要为</w:t>
            </w:r>
            <w:r>
              <w:rPr>
                <w:rFonts w:hint="eastAsia"/>
                <w:sz w:val="24"/>
              </w:rPr>
              <w:t>废紫外灯管0</w:t>
            </w:r>
            <w:r>
              <w:rPr>
                <w:sz w:val="24"/>
              </w:rPr>
              <w:t>.003t/a</w:t>
            </w:r>
            <w:r>
              <w:rPr>
                <w:rFonts w:hint="eastAsia"/>
                <w:sz w:val="24"/>
              </w:rPr>
              <w:t>、废催化板0</w:t>
            </w:r>
            <w:r>
              <w:rPr>
                <w:sz w:val="24"/>
              </w:rPr>
              <w:t>.03t/a</w:t>
            </w:r>
            <w:r>
              <w:rPr>
                <w:rFonts w:hint="eastAsia"/>
                <w:sz w:val="24"/>
              </w:rPr>
              <w:t>、废活性炭0</w:t>
            </w:r>
            <w:r>
              <w:rPr>
                <w:sz w:val="24"/>
              </w:rPr>
              <w:t>.6307t/a</w:t>
            </w:r>
            <w:r>
              <w:rPr>
                <w:rFonts w:hint="eastAsia"/>
                <w:sz w:val="24"/>
              </w:rPr>
              <w:t>。</w:t>
            </w:r>
            <w:r>
              <w:rPr>
                <w:rFonts w:hint="eastAsia"/>
                <w:color w:val="000000"/>
                <w:sz w:val="24"/>
              </w:rPr>
              <w:t>其中</w:t>
            </w:r>
            <w:r>
              <w:rPr>
                <w:rFonts w:hint="eastAsia"/>
                <w:sz w:val="24"/>
              </w:rPr>
              <w:t>废包装</w:t>
            </w:r>
            <w:r>
              <w:rPr>
                <w:rFonts w:hint="eastAsia"/>
                <w:sz w:val="24"/>
                <w:szCs w:val="21"/>
              </w:rPr>
              <w:t>材料、</w:t>
            </w:r>
            <w:r>
              <w:rPr>
                <w:rFonts w:hint="eastAsia"/>
                <w:sz w:val="24"/>
              </w:rPr>
              <w:t>废边角料收集至一般固废暂存间暂存后定期外售</w:t>
            </w:r>
            <w:r>
              <w:rPr>
                <w:rFonts w:hint="eastAsia"/>
                <w:color w:val="000000"/>
                <w:sz w:val="24"/>
              </w:rPr>
              <w:t>，</w:t>
            </w:r>
            <w:r>
              <w:rPr>
                <w:rFonts w:hint="eastAsia"/>
                <w:sz w:val="24"/>
                <w:szCs w:val="21"/>
              </w:rPr>
              <w:t>不合格品经收集后免费发给员工，废过滤网、</w:t>
            </w:r>
            <w:r>
              <w:rPr>
                <w:rFonts w:hint="eastAsia"/>
                <w:bCs/>
                <w:sz w:val="24"/>
              </w:rPr>
              <w:t>袋式除尘器集尘、</w:t>
            </w:r>
            <w:r>
              <w:rPr>
                <w:rFonts w:hint="eastAsia"/>
                <w:sz w:val="24"/>
              </w:rPr>
              <w:t>废抹布收集至一般固废暂存间暂存后由环卫部门拉走处理</w:t>
            </w:r>
            <w:r>
              <w:rPr>
                <w:rFonts w:hint="eastAsia"/>
                <w:color w:val="000000"/>
                <w:sz w:val="24"/>
              </w:rPr>
              <w:t>；</w:t>
            </w:r>
            <w:r>
              <w:rPr>
                <w:rFonts w:hint="eastAsia"/>
                <w:sz w:val="24"/>
              </w:rPr>
              <w:t>废紫外灯管、废催化板、废活性炭收集至危废暂存间暂存后定期委托有相应处理资质的危废单位进行安全处置</w:t>
            </w:r>
            <w:r>
              <w:rPr>
                <w:rFonts w:hint="eastAsia"/>
                <w:color w:val="000000"/>
                <w:sz w:val="24"/>
              </w:rPr>
              <w:t>。</w:t>
            </w:r>
          </w:p>
          <w:p>
            <w:pPr>
              <w:adjustRightInd w:val="0"/>
              <w:snapToGrid w:val="0"/>
              <w:spacing w:line="460" w:lineRule="exact"/>
              <w:ind w:firstLine="480" w:firstLineChars="200"/>
              <w:rPr>
                <w:color w:val="000000"/>
                <w:sz w:val="24"/>
              </w:rPr>
            </w:pPr>
            <w:r>
              <w:rPr>
                <w:color w:val="000000"/>
                <w:sz w:val="24"/>
              </w:rPr>
              <w:t>一般固废</w:t>
            </w:r>
            <w:r>
              <w:rPr>
                <w:rFonts w:hint="eastAsia"/>
                <w:color w:val="000000"/>
                <w:sz w:val="24"/>
              </w:rPr>
              <w:t>暂存</w:t>
            </w:r>
            <w:r>
              <w:rPr>
                <w:color w:val="000000"/>
                <w:sz w:val="24"/>
              </w:rPr>
              <w:t>间</w:t>
            </w:r>
            <w:r>
              <w:rPr>
                <w:rFonts w:hint="eastAsia"/>
                <w:color w:val="000000"/>
                <w:sz w:val="24"/>
              </w:rPr>
              <w:t>将采取防渗漏、防雨淋、防扬尘设施，满足</w:t>
            </w:r>
            <w:r>
              <w:rPr>
                <w:color w:val="000000"/>
                <w:sz w:val="24"/>
              </w:rPr>
              <w:t>《一般工业固体废物贮存和填埋污染控制标准》（GB18599-2020）的</w:t>
            </w:r>
            <w:r>
              <w:rPr>
                <w:rFonts w:hint="eastAsia"/>
                <w:color w:val="000000"/>
                <w:sz w:val="24"/>
              </w:rPr>
              <w:t>防渗漏、防雨淋、防扬尘要求；危废暂存间将采用</w:t>
            </w:r>
            <w:r>
              <w:rPr>
                <w:bCs/>
                <w:color w:val="000000"/>
                <w:sz w:val="24"/>
              </w:rPr>
              <w:t>防风、防晒、防雨淋</w:t>
            </w:r>
            <w:r>
              <w:rPr>
                <w:rFonts w:hint="eastAsia"/>
                <w:bCs/>
                <w:color w:val="000000"/>
                <w:sz w:val="24"/>
              </w:rPr>
              <w:t>、防扬散、防流失、防渗漏措施</w:t>
            </w:r>
            <w:r>
              <w:rPr>
                <w:bCs/>
                <w:color w:val="000000"/>
                <w:sz w:val="24"/>
              </w:rPr>
              <w:t>，</w:t>
            </w:r>
            <w:r>
              <w:rPr>
                <w:rFonts w:hint="eastAsia"/>
                <w:bCs/>
                <w:color w:val="000000"/>
                <w:sz w:val="24"/>
              </w:rPr>
              <w:t>满足</w:t>
            </w:r>
            <w:r>
              <w:rPr>
                <w:color w:val="000000"/>
                <w:sz w:val="24"/>
              </w:rPr>
              <w:t>《</w:t>
            </w:r>
            <w:r>
              <w:rPr>
                <w:bCs/>
                <w:color w:val="000000"/>
                <w:sz w:val="24"/>
              </w:rPr>
              <w:t>危险废物贮存污染控制标准》</w:t>
            </w:r>
            <w:r>
              <w:rPr>
                <w:color w:val="000000"/>
                <w:sz w:val="24"/>
              </w:rPr>
              <w:t>（GB18597-2001）及其</w:t>
            </w:r>
            <w:r>
              <w:rPr>
                <w:rFonts w:hint="eastAsia"/>
                <w:color w:val="000000"/>
                <w:sz w:val="24"/>
              </w:rPr>
              <w:t>2013</w:t>
            </w:r>
            <w:r>
              <w:rPr>
                <w:color w:val="000000"/>
                <w:sz w:val="24"/>
              </w:rPr>
              <w:t>修改单的要求</w:t>
            </w:r>
            <w:r>
              <w:rPr>
                <w:rFonts w:hint="eastAsia"/>
                <w:color w:val="000000"/>
                <w:sz w:val="24"/>
              </w:rPr>
              <w:t>。</w:t>
            </w:r>
          </w:p>
          <w:p>
            <w:pPr>
              <w:adjustRightInd w:val="0"/>
              <w:snapToGrid w:val="0"/>
              <w:spacing w:line="460" w:lineRule="exact"/>
              <w:ind w:firstLine="482" w:firstLineChars="200"/>
              <w:rPr>
                <w:b/>
                <w:color w:val="000000"/>
                <w:sz w:val="24"/>
              </w:rPr>
            </w:pPr>
            <w:r>
              <w:rPr>
                <w:rFonts w:hint="eastAsia"/>
                <w:b/>
                <w:color w:val="000000"/>
                <w:sz w:val="24"/>
              </w:rPr>
              <w:t>二、在建项目污染物排放量</w:t>
            </w:r>
          </w:p>
          <w:p>
            <w:pPr>
              <w:adjustRightInd w:val="0"/>
              <w:snapToGrid w:val="0"/>
              <w:spacing w:line="460" w:lineRule="exact"/>
              <w:ind w:firstLine="480" w:firstLineChars="200"/>
              <w:rPr>
                <w:color w:val="000000"/>
                <w:sz w:val="24"/>
              </w:rPr>
            </w:pPr>
            <w:r>
              <w:rPr>
                <w:rFonts w:hint="eastAsia"/>
                <w:color w:val="000000"/>
                <w:sz w:val="24"/>
              </w:rPr>
              <w:t>“</w:t>
            </w:r>
            <w:r>
              <w:rPr>
                <w:bCs/>
                <w:color w:val="000000"/>
                <w:sz w:val="24"/>
              </w:rPr>
              <w:t>年产2000万片贴剂和200万支抑菌剂项目</w:t>
            </w:r>
            <w:r>
              <w:rPr>
                <w:rFonts w:hint="eastAsia"/>
                <w:color w:val="000000"/>
                <w:sz w:val="24"/>
              </w:rPr>
              <w:t>”设备尚未安装，项目还未进行生产，无营运期废气、废水产生。根据环评报告及批复</w:t>
            </w:r>
            <w:r>
              <w:rPr>
                <w:rFonts w:hint="eastAsia"/>
                <w:bCs/>
                <w:color w:val="000000"/>
                <w:sz w:val="24"/>
              </w:rPr>
              <w:t>，</w:t>
            </w:r>
            <w:r>
              <w:rPr>
                <w:rFonts w:hint="eastAsia"/>
                <w:color w:val="000000"/>
                <w:sz w:val="24"/>
              </w:rPr>
              <w:t>该项目产排情况见下表：</w:t>
            </w:r>
          </w:p>
          <w:p>
            <w:pPr>
              <w:adjustRightInd w:val="0"/>
              <w:snapToGrid w:val="0"/>
              <w:spacing w:line="460" w:lineRule="exact"/>
              <w:ind w:firstLine="480" w:firstLineChars="200"/>
              <w:rPr>
                <w:rFonts w:eastAsia="黑体"/>
                <w:color w:val="000000"/>
                <w:sz w:val="24"/>
              </w:rPr>
            </w:pPr>
            <w:r>
              <w:rPr>
                <w:rFonts w:ascii="黑体" w:hAnsi="黑体" w:eastAsia="黑体"/>
                <w:color w:val="000000"/>
                <w:sz w:val="24"/>
                <w:lang w:val="pt-BR"/>
              </w:rPr>
              <w:t>表</w:t>
            </w:r>
            <w:r>
              <w:rPr>
                <w:rFonts w:eastAsia="黑体"/>
                <w:color w:val="000000"/>
                <w:sz w:val="24"/>
              </w:rPr>
              <w:t>17</w:t>
            </w:r>
            <w:r>
              <w:rPr>
                <w:rFonts w:ascii="黑体" w:hAnsi="黑体" w:eastAsia="黑体"/>
                <w:color w:val="000000"/>
                <w:sz w:val="24"/>
              </w:rPr>
              <w:t xml:space="preserve"> </w:t>
            </w:r>
            <w:r>
              <w:rPr>
                <w:rFonts w:ascii="黑体" w:hAnsi="黑体" w:eastAsia="黑体"/>
                <w:color w:val="000000"/>
                <w:sz w:val="24"/>
                <w:lang w:val="pt-BR"/>
              </w:rPr>
              <w:t xml:space="preserve">          </w:t>
            </w:r>
            <w:r>
              <w:rPr>
                <w:rFonts w:hint="eastAsia" w:ascii="黑体" w:hAnsi="黑体" w:eastAsia="黑体"/>
                <w:color w:val="000000"/>
                <w:sz w:val="24"/>
                <w:lang w:val="pt-BR"/>
              </w:rPr>
              <w:t>在建</w:t>
            </w:r>
            <w:r>
              <w:rPr>
                <w:rFonts w:ascii="黑体" w:hAnsi="黑体" w:eastAsia="黑体"/>
                <w:color w:val="000000"/>
                <w:sz w:val="24"/>
                <w:lang w:val="pt-BR"/>
              </w:rPr>
              <w:t>项目污染物产排情况一览表</w:t>
            </w:r>
            <w:r>
              <w:rPr>
                <w:rFonts w:hint="eastAsia" w:ascii="黑体" w:hAnsi="黑体" w:eastAsia="黑体"/>
                <w:color w:val="000000"/>
                <w:sz w:val="24"/>
                <w:lang w:val="pt-BR"/>
              </w:rPr>
              <w:t xml:space="preserve">          </w:t>
            </w:r>
            <w:r>
              <w:rPr>
                <w:rFonts w:eastAsia="黑体"/>
                <w:color w:val="000000"/>
                <w:sz w:val="24"/>
                <w:lang w:val="pt-BR"/>
              </w:rPr>
              <w:t>单位：t/a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726"/>
              <w:gridCol w:w="2608"/>
              <w:gridCol w:w="273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4" w:type="dxa"/>
                  <w:gridSpan w:val="2"/>
                  <w:vAlign w:val="center"/>
                </w:tcPr>
                <w:p>
                  <w:pPr>
                    <w:jc w:val="center"/>
                    <w:rPr>
                      <w:b/>
                      <w:color w:val="000000"/>
                      <w:szCs w:val="21"/>
                    </w:rPr>
                  </w:pPr>
                  <w:r>
                    <w:rPr>
                      <w:b/>
                      <w:color w:val="000000"/>
                      <w:szCs w:val="21"/>
                    </w:rPr>
                    <w:t>项目</w:t>
                  </w:r>
                </w:p>
              </w:tc>
              <w:tc>
                <w:tcPr>
                  <w:tcW w:w="2608" w:type="dxa"/>
                  <w:vAlign w:val="center"/>
                </w:tcPr>
                <w:p>
                  <w:pPr>
                    <w:jc w:val="center"/>
                    <w:rPr>
                      <w:b/>
                      <w:color w:val="000000"/>
                      <w:szCs w:val="21"/>
                    </w:rPr>
                  </w:pPr>
                  <w:r>
                    <w:rPr>
                      <w:b/>
                      <w:color w:val="000000"/>
                      <w:szCs w:val="21"/>
                    </w:rPr>
                    <w:t>实际排放量</w:t>
                  </w:r>
                </w:p>
              </w:tc>
              <w:tc>
                <w:tcPr>
                  <w:tcW w:w="2733" w:type="dxa"/>
                  <w:vAlign w:val="center"/>
                </w:tcPr>
                <w:p>
                  <w:pPr>
                    <w:jc w:val="center"/>
                    <w:rPr>
                      <w:b/>
                      <w:color w:val="000000"/>
                      <w:szCs w:val="21"/>
                    </w:rPr>
                  </w:pPr>
                  <w:r>
                    <w:rPr>
                      <w:rFonts w:hint="eastAsia"/>
                      <w:b/>
                      <w:color w:val="000000"/>
                      <w:szCs w:val="21"/>
                    </w:rPr>
                    <w:t>环评批复</w:t>
                  </w:r>
                  <w:r>
                    <w:rPr>
                      <w:b/>
                      <w:color w:val="000000"/>
                      <w:szCs w:val="21"/>
                    </w:rPr>
                    <w:t>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restart"/>
                  <w:vAlign w:val="center"/>
                </w:tcPr>
                <w:p>
                  <w:pPr>
                    <w:jc w:val="center"/>
                    <w:rPr>
                      <w:color w:val="000000"/>
                      <w:szCs w:val="21"/>
                    </w:rPr>
                  </w:pPr>
                  <w:r>
                    <w:rPr>
                      <w:rFonts w:hint="eastAsia"/>
                      <w:color w:val="000000"/>
                      <w:szCs w:val="21"/>
                    </w:rPr>
                    <w:t>废水</w:t>
                  </w:r>
                </w:p>
              </w:tc>
              <w:tc>
                <w:tcPr>
                  <w:tcW w:w="1726" w:type="dxa"/>
                  <w:vAlign w:val="center"/>
                </w:tcPr>
                <w:p>
                  <w:pPr>
                    <w:jc w:val="center"/>
                    <w:rPr>
                      <w:color w:val="000000"/>
                      <w:szCs w:val="21"/>
                    </w:rPr>
                  </w:pPr>
                  <w:r>
                    <w:rPr>
                      <w:color w:val="000000"/>
                      <w:szCs w:val="21"/>
                    </w:rPr>
                    <w:t>COD</w:t>
                  </w:r>
                </w:p>
              </w:tc>
              <w:tc>
                <w:tcPr>
                  <w:tcW w:w="2608" w:type="dxa"/>
                  <w:vAlign w:val="center"/>
                </w:tcPr>
                <w:p>
                  <w:pPr>
                    <w:jc w:val="center"/>
                    <w:rPr>
                      <w:color w:val="000000"/>
                      <w:szCs w:val="21"/>
                    </w:rPr>
                  </w:pPr>
                  <w:r>
                    <w:rPr>
                      <w:rFonts w:hint="eastAsia"/>
                      <w:color w:val="000000"/>
                      <w:szCs w:val="21"/>
                    </w:rPr>
                    <w:t>0</w:t>
                  </w:r>
                </w:p>
              </w:tc>
              <w:tc>
                <w:tcPr>
                  <w:tcW w:w="2733" w:type="dxa"/>
                  <w:vAlign w:val="center"/>
                </w:tcPr>
                <w:p>
                  <w:pPr>
                    <w:jc w:val="center"/>
                    <w:rPr>
                      <w:color w:val="000000"/>
                      <w:szCs w:val="21"/>
                    </w:rPr>
                  </w:pPr>
                  <w:r>
                    <w:rPr>
                      <w:rFonts w:hint="eastAsia"/>
                      <w:color w:val="000000"/>
                      <w:szCs w:val="21"/>
                    </w:rPr>
                    <w:t>0</w:t>
                  </w:r>
                  <w:r>
                    <w:rPr>
                      <w:color w:val="000000"/>
                      <w:szCs w:val="21"/>
                    </w:rPr>
                    <w:t>.0242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continue"/>
                  <w:vAlign w:val="center"/>
                </w:tcPr>
                <w:p>
                  <w:pPr>
                    <w:jc w:val="center"/>
                    <w:rPr>
                      <w:color w:val="000000"/>
                      <w:szCs w:val="21"/>
                    </w:rPr>
                  </w:pPr>
                </w:p>
              </w:tc>
              <w:tc>
                <w:tcPr>
                  <w:tcW w:w="1726" w:type="dxa"/>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2608" w:type="dxa"/>
                  <w:vAlign w:val="center"/>
                </w:tcPr>
                <w:p>
                  <w:pPr>
                    <w:jc w:val="center"/>
                    <w:rPr>
                      <w:color w:val="000000"/>
                      <w:szCs w:val="21"/>
                    </w:rPr>
                  </w:pPr>
                  <w:r>
                    <w:rPr>
                      <w:rFonts w:hint="eastAsia"/>
                      <w:color w:val="000000"/>
                      <w:szCs w:val="21"/>
                    </w:rPr>
                    <w:t>0</w:t>
                  </w:r>
                </w:p>
              </w:tc>
              <w:tc>
                <w:tcPr>
                  <w:tcW w:w="2733" w:type="dxa"/>
                  <w:vAlign w:val="center"/>
                </w:tcPr>
                <w:p>
                  <w:pPr>
                    <w:jc w:val="center"/>
                    <w:rPr>
                      <w:color w:val="000000"/>
                      <w:szCs w:val="21"/>
                    </w:rPr>
                  </w:pPr>
                  <w:r>
                    <w:rPr>
                      <w:rFonts w:hint="eastAsia"/>
                      <w:color w:val="000000"/>
                      <w:szCs w:val="21"/>
                    </w:rPr>
                    <w:t>0</w:t>
                  </w:r>
                  <w:r>
                    <w:rPr>
                      <w:color w:val="000000"/>
                      <w:szCs w:val="21"/>
                    </w:rPr>
                    <w:t>.0012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continue"/>
                  <w:vAlign w:val="center"/>
                </w:tcPr>
                <w:p>
                  <w:pPr>
                    <w:jc w:val="center"/>
                    <w:rPr>
                      <w:color w:val="000000"/>
                      <w:szCs w:val="21"/>
                    </w:rPr>
                  </w:pPr>
                </w:p>
              </w:tc>
              <w:tc>
                <w:tcPr>
                  <w:tcW w:w="1726" w:type="dxa"/>
                  <w:vAlign w:val="center"/>
                </w:tcPr>
                <w:p>
                  <w:pPr>
                    <w:jc w:val="center"/>
                    <w:rPr>
                      <w:color w:val="000000"/>
                      <w:szCs w:val="21"/>
                    </w:rPr>
                  </w:pPr>
                  <w:r>
                    <w:rPr>
                      <w:color w:val="000000"/>
                      <w:szCs w:val="21"/>
                    </w:rPr>
                    <w:t>TP</w:t>
                  </w:r>
                </w:p>
              </w:tc>
              <w:tc>
                <w:tcPr>
                  <w:tcW w:w="2608" w:type="dxa"/>
                  <w:vAlign w:val="center"/>
                </w:tcPr>
                <w:p>
                  <w:pPr>
                    <w:jc w:val="center"/>
                    <w:rPr>
                      <w:color w:val="000000"/>
                      <w:szCs w:val="21"/>
                    </w:rPr>
                  </w:pPr>
                  <w:r>
                    <w:rPr>
                      <w:rFonts w:hint="eastAsia"/>
                      <w:color w:val="000000"/>
                      <w:szCs w:val="21"/>
                    </w:rPr>
                    <w:t>0</w:t>
                  </w:r>
                </w:p>
              </w:tc>
              <w:tc>
                <w:tcPr>
                  <w:tcW w:w="2733" w:type="dxa"/>
                  <w:vAlign w:val="center"/>
                </w:tcPr>
                <w:p>
                  <w:pPr>
                    <w:jc w:val="center"/>
                    <w:rPr>
                      <w:color w:val="000000"/>
                      <w:szCs w:val="21"/>
                    </w:rPr>
                  </w:pPr>
                  <w:r>
                    <w:rPr>
                      <w:rFonts w:hint="eastAsia"/>
                      <w:color w:val="000000"/>
                      <w:szCs w:val="21"/>
                    </w:rPr>
                    <w:t>0</w:t>
                  </w:r>
                  <w:r>
                    <w:rPr>
                      <w:color w:val="000000"/>
                      <w:szCs w:val="21"/>
                    </w:rPr>
                    <w:t>.0002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continue"/>
                  <w:vAlign w:val="center"/>
                </w:tcPr>
                <w:p>
                  <w:pPr>
                    <w:jc w:val="center"/>
                    <w:rPr>
                      <w:color w:val="000000"/>
                      <w:szCs w:val="21"/>
                    </w:rPr>
                  </w:pPr>
                </w:p>
              </w:tc>
              <w:tc>
                <w:tcPr>
                  <w:tcW w:w="1726" w:type="dxa"/>
                  <w:vAlign w:val="center"/>
                </w:tcPr>
                <w:p>
                  <w:pPr>
                    <w:jc w:val="center"/>
                    <w:rPr>
                      <w:color w:val="000000"/>
                      <w:szCs w:val="21"/>
                    </w:rPr>
                  </w:pPr>
                  <w:r>
                    <w:rPr>
                      <w:color w:val="000000"/>
                      <w:szCs w:val="21"/>
                    </w:rPr>
                    <w:t>TN</w:t>
                  </w:r>
                </w:p>
              </w:tc>
              <w:tc>
                <w:tcPr>
                  <w:tcW w:w="2608" w:type="dxa"/>
                  <w:vAlign w:val="center"/>
                </w:tcPr>
                <w:p>
                  <w:pPr>
                    <w:jc w:val="center"/>
                    <w:rPr>
                      <w:color w:val="000000"/>
                      <w:szCs w:val="21"/>
                    </w:rPr>
                  </w:pPr>
                  <w:r>
                    <w:rPr>
                      <w:rFonts w:hint="eastAsia"/>
                      <w:color w:val="000000"/>
                      <w:szCs w:val="21"/>
                    </w:rPr>
                    <w:t>0</w:t>
                  </w:r>
                </w:p>
              </w:tc>
              <w:tc>
                <w:tcPr>
                  <w:tcW w:w="2733" w:type="dxa"/>
                  <w:vAlign w:val="center"/>
                </w:tcPr>
                <w:p>
                  <w:pPr>
                    <w:jc w:val="center"/>
                    <w:rPr>
                      <w:color w:val="000000"/>
                      <w:szCs w:val="21"/>
                    </w:rPr>
                  </w:pPr>
                  <w:r>
                    <w:rPr>
                      <w:rFonts w:hint="eastAsia"/>
                      <w:color w:val="000000"/>
                      <w:szCs w:val="21"/>
                    </w:rPr>
                    <w:t>0</w:t>
                  </w:r>
                  <w:r>
                    <w:rPr>
                      <w:color w:val="000000"/>
                      <w:szCs w:val="21"/>
                    </w:rPr>
                    <w:t>.0091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restart"/>
                  <w:shd w:val="clear" w:color="auto" w:fill="auto"/>
                  <w:vAlign w:val="center"/>
                </w:tcPr>
                <w:p>
                  <w:pPr>
                    <w:jc w:val="center"/>
                    <w:rPr>
                      <w:rFonts w:eastAsia="Times New Roman"/>
                      <w:color w:val="000000"/>
                      <w:szCs w:val="21"/>
                    </w:rPr>
                  </w:pPr>
                  <w:r>
                    <w:rPr>
                      <w:rFonts w:hint="eastAsia" w:ascii="宋体" w:hAnsi="宋体" w:cs="宋体"/>
                      <w:color w:val="000000"/>
                      <w:szCs w:val="21"/>
                    </w:rPr>
                    <w:t>废气</w:t>
                  </w:r>
                </w:p>
              </w:tc>
              <w:tc>
                <w:tcPr>
                  <w:tcW w:w="1726" w:type="dxa"/>
                  <w:shd w:val="clear" w:color="auto" w:fill="auto"/>
                  <w:vAlign w:val="center"/>
                </w:tcPr>
                <w:p>
                  <w:pPr>
                    <w:jc w:val="center"/>
                    <w:rPr>
                      <w:bCs/>
                      <w:color w:val="000000"/>
                      <w:szCs w:val="21"/>
                    </w:rPr>
                  </w:pPr>
                  <w:r>
                    <w:rPr>
                      <w:bCs/>
                      <w:color w:val="000000"/>
                      <w:szCs w:val="21"/>
                    </w:rPr>
                    <w:t>颗粒物</w:t>
                  </w:r>
                </w:p>
              </w:tc>
              <w:tc>
                <w:tcPr>
                  <w:tcW w:w="2608" w:type="dxa"/>
                  <w:shd w:val="clear" w:color="auto" w:fill="auto"/>
                  <w:vAlign w:val="center"/>
                </w:tcPr>
                <w:p>
                  <w:pPr>
                    <w:jc w:val="center"/>
                    <w:rPr>
                      <w:color w:val="000000"/>
                      <w:szCs w:val="21"/>
                    </w:rPr>
                  </w:pPr>
                  <w:r>
                    <w:rPr>
                      <w:rFonts w:hint="eastAsia"/>
                      <w:color w:val="000000"/>
                      <w:szCs w:val="21"/>
                    </w:rPr>
                    <w:t>0</w:t>
                  </w:r>
                </w:p>
              </w:tc>
              <w:tc>
                <w:tcPr>
                  <w:tcW w:w="2733" w:type="dxa"/>
                  <w:shd w:val="clear" w:color="auto" w:fill="auto"/>
                  <w:vAlign w:val="center"/>
                </w:tcPr>
                <w:p>
                  <w:pPr>
                    <w:jc w:val="center"/>
                    <w:rPr>
                      <w:color w:val="000000"/>
                      <w:szCs w:val="21"/>
                    </w:rPr>
                  </w:pPr>
                  <w:r>
                    <w:rPr>
                      <w:rFonts w:hint="eastAsia"/>
                      <w:color w:val="000000"/>
                      <w:szCs w:val="21"/>
                    </w:rPr>
                    <w:t>0</w:t>
                  </w:r>
                  <w:r>
                    <w:rPr>
                      <w:color w:val="000000"/>
                      <w:szCs w:val="21"/>
                    </w:rPr>
                    <w:t>.1214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Merge w:val="continue"/>
                  <w:shd w:val="clear" w:color="auto" w:fill="auto"/>
                  <w:vAlign w:val="center"/>
                </w:tcPr>
                <w:p>
                  <w:pPr>
                    <w:jc w:val="center"/>
                    <w:rPr>
                      <w:rFonts w:ascii="宋体" w:hAnsi="宋体" w:cs="宋体"/>
                      <w:color w:val="000000"/>
                      <w:szCs w:val="21"/>
                    </w:rPr>
                  </w:pPr>
                </w:p>
              </w:tc>
              <w:tc>
                <w:tcPr>
                  <w:tcW w:w="1726" w:type="dxa"/>
                  <w:shd w:val="clear" w:color="auto" w:fill="auto"/>
                  <w:vAlign w:val="center"/>
                </w:tcPr>
                <w:p>
                  <w:pPr>
                    <w:jc w:val="center"/>
                    <w:rPr>
                      <w:bCs/>
                      <w:color w:val="000000"/>
                      <w:szCs w:val="21"/>
                    </w:rPr>
                  </w:pPr>
                  <w:r>
                    <w:rPr>
                      <w:bCs/>
                      <w:color w:val="000000"/>
                      <w:szCs w:val="21"/>
                    </w:rPr>
                    <w:t>非甲烷总烃</w:t>
                  </w:r>
                </w:p>
              </w:tc>
              <w:tc>
                <w:tcPr>
                  <w:tcW w:w="2608" w:type="dxa"/>
                  <w:shd w:val="clear" w:color="auto" w:fill="auto"/>
                  <w:vAlign w:val="center"/>
                </w:tcPr>
                <w:p>
                  <w:pPr>
                    <w:jc w:val="center"/>
                    <w:rPr>
                      <w:color w:val="000000"/>
                      <w:szCs w:val="21"/>
                    </w:rPr>
                  </w:pPr>
                  <w:r>
                    <w:rPr>
                      <w:rFonts w:hint="eastAsia"/>
                      <w:color w:val="000000"/>
                      <w:szCs w:val="21"/>
                    </w:rPr>
                    <w:t>0</w:t>
                  </w:r>
                </w:p>
              </w:tc>
              <w:tc>
                <w:tcPr>
                  <w:tcW w:w="2733" w:type="dxa"/>
                  <w:shd w:val="clear" w:color="auto" w:fill="auto"/>
                  <w:vAlign w:val="center"/>
                </w:tcPr>
                <w:p>
                  <w:pPr>
                    <w:jc w:val="center"/>
                    <w:rPr>
                      <w:color w:val="000000"/>
                      <w:szCs w:val="21"/>
                    </w:rPr>
                  </w:pPr>
                  <w:r>
                    <w:rPr>
                      <w:rFonts w:hint="eastAsia"/>
                      <w:color w:val="000000"/>
                      <w:szCs w:val="21"/>
                    </w:rPr>
                    <w:t>0</w:t>
                  </w:r>
                  <w:r>
                    <w:rPr>
                      <w:color w:val="000000"/>
                      <w:szCs w:val="21"/>
                    </w:rPr>
                    <w:t>.1961</w:t>
                  </w:r>
                </w:p>
              </w:tc>
            </w:tr>
          </w:tbl>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rPr>
                <w:rFonts w:ascii="宋体" w:hAnsi="宋体"/>
                <w:bCs/>
                <w:szCs w:val="21"/>
              </w:rPr>
            </w:pPr>
          </w:p>
        </w:tc>
      </w:tr>
    </w:tbl>
    <w:p>
      <w:pPr>
        <w:pStyle w:val="14"/>
        <w:adjustRightInd w:val="0"/>
        <w:snapToGrid w:val="0"/>
        <w:spacing w:before="0" w:beforeAutospacing="0" w:after="0" w:afterAutospacing="0"/>
        <w:jc w:val="center"/>
        <w:rPr>
          <w:rFonts w:ascii="黑体" w:hAnsi="黑体" w:eastAsia="黑体"/>
          <w:snapToGrid w:val="0"/>
          <w:sz w:val="18"/>
          <w:szCs w:val="18"/>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adjustRightInd w:val="0"/>
              <w:snapToGrid w:val="0"/>
              <w:spacing w:line="460" w:lineRule="exact"/>
              <w:rPr>
                <w:color w:val="000000"/>
                <w:sz w:val="24"/>
              </w:rPr>
            </w:pPr>
            <w:r>
              <w:rPr>
                <w:color w:val="000000"/>
                <w:sz w:val="24"/>
              </w:rPr>
              <w:t>根据现有环境监测资料，建设项目所在地环境质量状况如下：</w:t>
            </w:r>
          </w:p>
          <w:p>
            <w:pPr>
              <w:adjustRightInd w:val="0"/>
              <w:snapToGrid w:val="0"/>
              <w:spacing w:line="460" w:lineRule="exact"/>
              <w:ind w:firstLine="482" w:firstLineChars="200"/>
              <w:rPr>
                <w:b/>
                <w:color w:val="000000"/>
                <w:sz w:val="24"/>
              </w:rPr>
            </w:pPr>
            <w:r>
              <w:rPr>
                <w:b/>
                <w:color w:val="000000"/>
                <w:sz w:val="24"/>
              </w:rPr>
              <w:t>1、环境空气质量现状</w:t>
            </w:r>
          </w:p>
          <w:p>
            <w:pPr>
              <w:adjustRightInd w:val="0"/>
              <w:snapToGrid w:val="0"/>
              <w:spacing w:line="460" w:lineRule="exact"/>
              <w:ind w:firstLine="480" w:firstLineChars="200"/>
              <w:rPr>
                <w:color w:val="000000"/>
                <w:sz w:val="24"/>
              </w:rPr>
            </w:pPr>
            <w:r>
              <w:rPr>
                <w:color w:val="000000"/>
                <w:sz w:val="24"/>
              </w:rPr>
              <w:t>根据大气功能区划分原则，建设项目所在地为二类功能区，环境空气质量应执行《环境空气质量标准》（GB3095-2012）二级标准。根据新乡市生态环境局发布的《新乡市2020年环境质量年报》，区域空气质量现状数据如下表所示。</w:t>
            </w:r>
          </w:p>
          <w:p>
            <w:pPr>
              <w:adjustRightInd w:val="0"/>
              <w:snapToGrid w:val="0"/>
              <w:spacing w:line="460" w:lineRule="exact"/>
              <w:ind w:firstLine="480" w:firstLineChars="200"/>
              <w:rPr>
                <w:rFonts w:eastAsia="黑体"/>
                <w:color w:val="000000"/>
                <w:sz w:val="24"/>
              </w:rPr>
            </w:pPr>
            <w:r>
              <w:rPr>
                <w:rFonts w:eastAsia="黑体"/>
                <w:color w:val="000000"/>
                <w:sz w:val="24"/>
              </w:rPr>
              <w:t>表18              区域空气质量现状评价表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6"/>
              <w:gridCol w:w="1761"/>
              <w:gridCol w:w="1701"/>
              <w:gridCol w:w="1570"/>
              <w:gridCol w:w="1134"/>
              <w:gridCol w:w="10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污染物</w:t>
                  </w:r>
                </w:p>
              </w:tc>
              <w:tc>
                <w:tcPr>
                  <w:tcW w:w="1761"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年评价指标</w:t>
                  </w:r>
                </w:p>
              </w:tc>
              <w:tc>
                <w:tcPr>
                  <w:tcW w:w="1701"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现状浓度/（μg/m</w:t>
                  </w:r>
                  <w:r>
                    <w:rPr>
                      <w:b/>
                      <w:color w:val="000000"/>
                      <w:szCs w:val="21"/>
                      <w:vertAlign w:val="superscript"/>
                    </w:rPr>
                    <w:t>3</w:t>
                  </w:r>
                  <w:r>
                    <w:rPr>
                      <w:b/>
                      <w:color w:val="000000"/>
                      <w:szCs w:val="21"/>
                    </w:rPr>
                    <w:t>）</w:t>
                  </w:r>
                </w:p>
              </w:tc>
              <w:tc>
                <w:tcPr>
                  <w:tcW w:w="1570"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标准值/（</w:t>
                  </w:r>
                  <w:r>
                    <w:rPr>
                      <w:b/>
                      <w:bCs/>
                      <w:color w:val="000000"/>
                      <w:szCs w:val="21"/>
                    </w:rPr>
                    <w:t>μ</w:t>
                  </w:r>
                  <w:r>
                    <w:rPr>
                      <w:b/>
                      <w:color w:val="000000"/>
                      <w:szCs w:val="21"/>
                    </w:rPr>
                    <w:t>g/m</w:t>
                  </w:r>
                  <w:r>
                    <w:rPr>
                      <w:b/>
                      <w:color w:val="000000"/>
                      <w:szCs w:val="21"/>
                      <w:vertAlign w:val="superscript"/>
                    </w:rPr>
                    <w:t>3</w:t>
                  </w:r>
                  <w:r>
                    <w:rPr>
                      <w:b/>
                      <w:color w:val="000000"/>
                      <w:szCs w:val="21"/>
                    </w:rPr>
                    <w:t>）</w:t>
                  </w:r>
                </w:p>
              </w:tc>
              <w:tc>
                <w:tcPr>
                  <w:tcW w:w="1134"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占标率/%</w:t>
                  </w:r>
                </w:p>
              </w:tc>
              <w:tc>
                <w:tcPr>
                  <w:tcW w:w="1002" w:type="dxa"/>
                  <w:tcBorders>
                    <w:top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10</w:t>
                  </w:r>
                </w:p>
              </w:tc>
              <w:tc>
                <w:tcPr>
                  <w:tcW w:w="1761" w:type="dxa"/>
                  <w:tcMar>
                    <w:top w:w="0" w:type="dxa"/>
                    <w:left w:w="28" w:type="dxa"/>
                    <w:bottom w:w="0" w:type="dxa"/>
                    <w:right w:w="28" w:type="dxa"/>
                  </w:tcMar>
                  <w:vAlign w:val="center"/>
                </w:tcPr>
                <w:p>
                  <w:pPr>
                    <w:overflowPunct w:val="0"/>
                    <w:autoSpaceDE w:val="0"/>
                    <w:autoSpaceDN w:val="0"/>
                    <w:adjustRightIn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89</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70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127</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2.5</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51</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35</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146</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SO</w:t>
                  </w:r>
                  <w:r>
                    <w:rPr>
                      <w:color w:val="000000"/>
                      <w:szCs w:val="21"/>
                      <w:vertAlign w:val="subscript"/>
                    </w:rPr>
                    <w:t>2</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13</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60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21.7</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NO</w:t>
                  </w:r>
                  <w:r>
                    <w:rPr>
                      <w:color w:val="000000"/>
                      <w:szCs w:val="21"/>
                      <w:vertAlign w:val="subscript"/>
                    </w:rPr>
                    <w:t>2</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35</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87.5</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CO</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第95百分位浓度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1.675mg/m</w:t>
                  </w:r>
                  <w:r>
                    <w:rPr>
                      <w:color w:val="000000"/>
                      <w:szCs w:val="21"/>
                      <w:vertAlign w:val="superscript"/>
                    </w:rPr>
                    <w:t>3</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4mg/m</w:t>
                  </w:r>
                  <w:r>
                    <w:rPr>
                      <w:color w:val="000000"/>
                      <w:szCs w:val="21"/>
                      <w:vertAlign w:val="superscript"/>
                    </w:rPr>
                    <w:t>3</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41.9</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O</w:t>
                  </w:r>
                  <w:r>
                    <w:rPr>
                      <w:color w:val="000000"/>
                      <w:szCs w:val="21"/>
                      <w:vertAlign w:val="subscript"/>
                    </w:rPr>
                    <w:t>3</w:t>
                  </w:r>
                </w:p>
              </w:tc>
              <w:tc>
                <w:tcPr>
                  <w:tcW w:w="1761"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第90百分位浓度</w:t>
                  </w:r>
                </w:p>
              </w:tc>
              <w:tc>
                <w:tcPr>
                  <w:tcW w:w="1701"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173</w:t>
                  </w:r>
                </w:p>
              </w:tc>
              <w:tc>
                <w:tcPr>
                  <w:tcW w:w="1570"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160</w:t>
                  </w:r>
                </w:p>
              </w:tc>
              <w:tc>
                <w:tcPr>
                  <w:tcW w:w="1134"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108</w:t>
                  </w:r>
                </w:p>
              </w:tc>
              <w:tc>
                <w:tcPr>
                  <w:tcW w:w="1002" w:type="dxa"/>
                  <w:tcBorders>
                    <w:bottom w:val="single" w:color="auto" w:sz="8" w:space="0"/>
                  </w:tcBorders>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bl>
          <w:p>
            <w:pPr>
              <w:adjustRightInd w:val="0"/>
              <w:snapToGrid w:val="0"/>
              <w:spacing w:line="460" w:lineRule="exact"/>
              <w:ind w:firstLine="480" w:firstLineChars="200"/>
              <w:rPr>
                <w:color w:val="000000"/>
                <w:sz w:val="24"/>
              </w:rPr>
            </w:pPr>
            <w:r>
              <w:rPr>
                <w:color w:val="000000"/>
                <w:sz w:val="24"/>
              </w:rPr>
              <w:t>由上表可知，其中PM</w:t>
            </w:r>
            <w:r>
              <w:rPr>
                <w:color w:val="000000"/>
                <w:sz w:val="24"/>
                <w:vertAlign w:val="subscript"/>
              </w:rPr>
              <w:t>10</w:t>
            </w:r>
            <w:r>
              <w:rPr>
                <w:color w:val="000000"/>
                <w:sz w:val="24"/>
              </w:rPr>
              <w:t>、PM</w:t>
            </w:r>
            <w:r>
              <w:rPr>
                <w:color w:val="000000"/>
                <w:sz w:val="24"/>
                <w:vertAlign w:val="subscript"/>
              </w:rPr>
              <w:t>2.5</w:t>
            </w:r>
            <w:r>
              <w:rPr>
                <w:color w:val="000000"/>
                <w:sz w:val="24"/>
              </w:rPr>
              <w:t>和O</w:t>
            </w:r>
            <w:r>
              <w:rPr>
                <w:color w:val="000000"/>
                <w:sz w:val="24"/>
                <w:vertAlign w:val="subscript"/>
              </w:rPr>
              <w:t>3</w:t>
            </w:r>
            <w:r>
              <w:rPr>
                <w:color w:val="000000"/>
                <w:sz w:val="24"/>
              </w:rPr>
              <w:t>均不能够满足《环境空气质量标准》（GB3095-2012）二级标准要求。根据《环境影响评价技术导则  大气环境》(HJ2.2-2018)，本项目所在区域属于未达标区。</w:t>
            </w:r>
          </w:p>
          <w:p>
            <w:pPr>
              <w:adjustRightInd w:val="0"/>
              <w:snapToGrid w:val="0"/>
              <w:spacing w:line="460" w:lineRule="exact"/>
              <w:ind w:firstLine="480" w:firstLineChars="200"/>
              <w:textAlignment w:val="baseline"/>
              <w:rPr>
                <w:color w:val="000000"/>
                <w:sz w:val="24"/>
              </w:rPr>
            </w:pPr>
            <w:r>
              <w:rPr>
                <w:sz w:val="24"/>
              </w:rPr>
              <w:t>目前，新乡市正在实施《</w:t>
            </w:r>
            <w:r>
              <w:rPr>
                <w:rFonts w:hint="eastAsia"/>
                <w:sz w:val="24"/>
              </w:rPr>
              <w:t>“</w:t>
            </w:r>
            <w:r>
              <w:rPr>
                <w:sz w:val="24"/>
              </w:rPr>
              <w:t>十三五</w:t>
            </w:r>
            <w:r>
              <w:rPr>
                <w:rFonts w:hint="eastAsia"/>
                <w:sz w:val="24"/>
              </w:rPr>
              <w:t>”</w:t>
            </w:r>
            <w:r>
              <w:rPr>
                <w:sz w:val="24"/>
              </w:rPr>
              <w:t>挥发性有机物污染防治工作方案》、《新乡市环境污染防治攻坚战三年行动实施方案（2018-2020年）》和《新乡市环境污染防治攻坚指挥部办公室关于印发新乡市2022年大气、水、土壤污染防治攻坚战及农业农村污染治理攻坚战实施方案的通知》（新环攻坚办〔2022〕60号）等一系列措施，实施这些方案将不断改善区域大气环境质量。</w:t>
            </w:r>
          </w:p>
          <w:p>
            <w:pPr>
              <w:adjustRightInd w:val="0"/>
              <w:snapToGrid w:val="0"/>
              <w:spacing w:line="460" w:lineRule="exact"/>
              <w:ind w:firstLine="482" w:firstLineChars="200"/>
              <w:textAlignment w:val="baseline"/>
              <w:rPr>
                <w:b/>
                <w:color w:val="000000"/>
                <w:sz w:val="24"/>
              </w:rPr>
            </w:pPr>
            <w:r>
              <w:rPr>
                <w:b/>
                <w:color w:val="000000"/>
                <w:sz w:val="24"/>
              </w:rPr>
              <w:t>2、地表水环境质量现状</w:t>
            </w:r>
          </w:p>
          <w:p>
            <w:pPr>
              <w:spacing w:line="460" w:lineRule="exact"/>
              <w:ind w:firstLine="480" w:firstLineChars="200"/>
              <w:rPr>
                <w:color w:val="000000"/>
                <w:sz w:val="24"/>
                <w:highlight w:val="yellow"/>
              </w:rPr>
            </w:pPr>
            <w:r>
              <w:rPr>
                <w:color w:val="000000"/>
                <w:sz w:val="24"/>
              </w:rPr>
              <w:t>本项目</w:t>
            </w:r>
            <w:r>
              <w:rPr>
                <w:rFonts w:hint="eastAsia"/>
                <w:bCs/>
                <w:color w:val="000000"/>
                <w:sz w:val="24"/>
              </w:rPr>
              <w:t>生活污水</w:t>
            </w:r>
            <w:r>
              <w:rPr>
                <w:bCs/>
                <w:color w:val="000000"/>
                <w:sz w:val="24"/>
              </w:rPr>
              <w:t>经</w:t>
            </w:r>
            <w:r>
              <w:rPr>
                <w:rFonts w:hint="eastAsia"/>
                <w:bCs/>
                <w:color w:val="000000"/>
                <w:sz w:val="24"/>
              </w:rPr>
              <w:t>化粪池</w:t>
            </w:r>
            <w:r>
              <w:rPr>
                <w:bCs/>
                <w:color w:val="000000"/>
                <w:sz w:val="24"/>
              </w:rPr>
              <w:t>处理后通过污水管网排入</w:t>
            </w:r>
            <w:r>
              <w:rPr>
                <w:rFonts w:hint="eastAsia"/>
                <w:bCs/>
                <w:color w:val="000000"/>
                <w:sz w:val="24"/>
              </w:rPr>
              <w:t>获嘉县亢村污水处理厂</w:t>
            </w:r>
            <w:r>
              <w:rPr>
                <w:bCs/>
                <w:color w:val="000000"/>
                <w:sz w:val="24"/>
              </w:rPr>
              <w:t>处理后出水</w:t>
            </w:r>
            <w:r>
              <w:rPr>
                <w:rFonts w:hint="eastAsia"/>
                <w:sz w:val="24"/>
              </w:rPr>
              <w:t>排入东干一支排，最终进入东孟姜女河</w:t>
            </w:r>
            <w:r>
              <w:rPr>
                <w:bCs/>
                <w:color w:val="000000"/>
                <w:sz w:val="24"/>
              </w:rPr>
              <w:t>。</w:t>
            </w:r>
            <w:r>
              <w:rPr>
                <w:color w:val="000000"/>
                <w:sz w:val="24"/>
              </w:rPr>
              <w:t>根据</w:t>
            </w:r>
            <w:r>
              <w:rPr>
                <w:rFonts w:hint="eastAsia"/>
                <w:sz w:val="24"/>
              </w:rPr>
              <w:t>《新乡市各县（市、区）“十四五”及</w:t>
            </w:r>
            <w:r>
              <w:rPr>
                <w:sz w:val="24"/>
              </w:rPr>
              <w:t>2021</w:t>
            </w:r>
            <w:r>
              <w:rPr>
                <w:rFonts w:hint="eastAsia"/>
                <w:sz w:val="24"/>
              </w:rPr>
              <w:t>年地表水环境质量目标》</w:t>
            </w:r>
            <w:r>
              <w:rPr>
                <w:rFonts w:hint="eastAsia"/>
                <w:color w:val="000000"/>
                <w:sz w:val="24"/>
              </w:rPr>
              <w:t>，</w:t>
            </w:r>
            <w:r>
              <w:rPr>
                <w:rFonts w:hint="eastAsia"/>
                <w:sz w:val="24"/>
              </w:rPr>
              <w:t>东孟姜女河</w:t>
            </w:r>
            <w:r>
              <w:rPr>
                <w:bCs/>
                <w:color w:val="000000"/>
                <w:sz w:val="24"/>
              </w:rPr>
              <w:t>水体功能类别为IV类标准。</w:t>
            </w:r>
            <w:r>
              <w:rPr>
                <w:color w:val="000000"/>
                <w:sz w:val="24"/>
              </w:rPr>
              <w:t>根据新乡市环境监测站对</w:t>
            </w:r>
            <w:r>
              <w:rPr>
                <w:kern w:val="0"/>
                <w:sz w:val="24"/>
              </w:rPr>
              <w:t>青龙路化肥厂东</w:t>
            </w:r>
            <w:r>
              <w:rPr>
                <w:color w:val="000000"/>
                <w:sz w:val="24"/>
              </w:rPr>
              <w:t>断面的监测2022年4月周报数据见下表。</w:t>
            </w:r>
          </w:p>
          <w:p>
            <w:pPr>
              <w:adjustRightInd w:val="0"/>
              <w:snapToGrid w:val="0"/>
              <w:spacing w:line="460" w:lineRule="exact"/>
              <w:ind w:firstLine="480" w:firstLineChars="200"/>
              <w:rPr>
                <w:rFonts w:eastAsia="黑体"/>
                <w:color w:val="000000"/>
                <w:sz w:val="24"/>
              </w:rPr>
            </w:pPr>
            <w:r>
              <w:rPr>
                <w:rFonts w:eastAsia="黑体"/>
                <w:color w:val="000000"/>
                <w:sz w:val="24"/>
              </w:rPr>
              <w:t xml:space="preserve">表19 </w:t>
            </w:r>
            <w:r>
              <w:rPr>
                <w:rFonts w:hint="eastAsia" w:eastAsia="黑体"/>
                <w:color w:val="000000"/>
                <w:sz w:val="24"/>
              </w:rPr>
              <w:t xml:space="preserve"> </w:t>
            </w:r>
            <w:r>
              <w:rPr>
                <w:rFonts w:eastAsia="黑体"/>
                <w:color w:val="000000"/>
                <w:sz w:val="24"/>
              </w:rPr>
              <w:t xml:space="preserve">  </w:t>
            </w:r>
            <w:r>
              <w:rPr>
                <w:rFonts w:hint="eastAsia" w:eastAsia="黑体"/>
                <w:color w:val="000000"/>
                <w:sz w:val="24"/>
              </w:rPr>
              <w:t>青龙路化肥厂东</w:t>
            </w:r>
            <w:r>
              <w:rPr>
                <w:rFonts w:eastAsia="黑体"/>
                <w:color w:val="000000"/>
                <w:sz w:val="24"/>
              </w:rPr>
              <w:t>断面监测数据</w:t>
            </w:r>
            <w:r>
              <w:rPr>
                <w:rFonts w:hint="eastAsia" w:eastAsia="黑体"/>
                <w:color w:val="000000"/>
                <w:sz w:val="24"/>
              </w:rPr>
              <w:t>（</w:t>
            </w:r>
            <w:r>
              <w:rPr>
                <w:rFonts w:eastAsia="黑体"/>
                <w:color w:val="000000"/>
                <w:sz w:val="24"/>
              </w:rPr>
              <w:t>2022年4月</w:t>
            </w:r>
            <w:r>
              <w:rPr>
                <w:rFonts w:hint="eastAsia" w:eastAsia="黑体"/>
                <w:color w:val="000000"/>
                <w:sz w:val="24"/>
              </w:rPr>
              <w:t>）</w:t>
            </w:r>
            <w:r>
              <w:rPr>
                <w:rFonts w:eastAsia="黑体"/>
                <w:color w:val="000000"/>
                <w:sz w:val="24"/>
              </w:rPr>
              <w:t xml:space="preserve">    单位：mg/L</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116"/>
              <w:gridCol w:w="1993"/>
              <w:gridCol w:w="18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8" w:space="0"/>
                  </w:tcBorders>
                  <w:vAlign w:val="center"/>
                </w:tcPr>
                <w:p>
                  <w:pPr>
                    <w:adjustRightInd w:val="0"/>
                    <w:snapToGrid w:val="0"/>
                    <w:jc w:val="center"/>
                    <w:rPr>
                      <w:b/>
                      <w:color w:val="000000"/>
                      <w:szCs w:val="21"/>
                    </w:rPr>
                  </w:pPr>
                  <w:r>
                    <w:rPr>
                      <w:b/>
                      <w:color w:val="000000"/>
                      <w:szCs w:val="21"/>
                    </w:rPr>
                    <w:t>监测因子</w:t>
                  </w:r>
                </w:p>
              </w:tc>
              <w:tc>
                <w:tcPr>
                  <w:tcW w:w="2410" w:type="dxa"/>
                  <w:tcBorders>
                    <w:top w:val="single" w:color="auto" w:sz="8" w:space="0"/>
                  </w:tcBorders>
                  <w:vAlign w:val="center"/>
                </w:tcPr>
                <w:p>
                  <w:pPr>
                    <w:adjustRightInd w:val="0"/>
                    <w:snapToGrid w:val="0"/>
                    <w:jc w:val="center"/>
                    <w:rPr>
                      <w:b/>
                      <w:color w:val="000000"/>
                      <w:szCs w:val="21"/>
                    </w:rPr>
                  </w:pPr>
                  <w:r>
                    <w:rPr>
                      <w:b/>
                      <w:color w:val="000000"/>
                      <w:szCs w:val="21"/>
                    </w:rPr>
                    <w:t>COD</w:t>
                  </w:r>
                </w:p>
              </w:tc>
              <w:tc>
                <w:tcPr>
                  <w:tcW w:w="2268" w:type="dxa"/>
                  <w:tcBorders>
                    <w:top w:val="single" w:color="auto" w:sz="8" w:space="0"/>
                  </w:tcBorders>
                  <w:vAlign w:val="center"/>
                </w:tcPr>
                <w:p>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2125" w:type="dxa"/>
                  <w:tcBorders>
                    <w:top w:val="single" w:color="auto" w:sz="8" w:space="0"/>
                  </w:tcBorders>
                  <w:vAlign w:val="center"/>
                </w:tcPr>
                <w:p>
                  <w:pPr>
                    <w:adjustRightInd w:val="0"/>
                    <w:snapToGrid w:val="0"/>
                    <w:jc w:val="center"/>
                    <w:rPr>
                      <w:b/>
                      <w:color w:val="000000"/>
                      <w:szCs w:val="21"/>
                    </w:rPr>
                  </w:pPr>
                  <w:r>
                    <w:rPr>
                      <w:b/>
                      <w:color w:val="000000"/>
                      <w:szCs w:val="21"/>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vAlign w:val="center"/>
                </w:tcPr>
                <w:p>
                  <w:pPr>
                    <w:adjustRightInd w:val="0"/>
                    <w:snapToGrid w:val="0"/>
                    <w:jc w:val="center"/>
                    <w:rPr>
                      <w:color w:val="000000"/>
                      <w:szCs w:val="21"/>
                    </w:rPr>
                  </w:pPr>
                  <w:r>
                    <w:rPr>
                      <w:color w:val="000000"/>
                      <w:szCs w:val="21"/>
                    </w:rPr>
                    <w:t>监测数据</w:t>
                  </w:r>
                </w:p>
              </w:tc>
              <w:tc>
                <w:tcPr>
                  <w:tcW w:w="2410" w:type="dxa"/>
                  <w:vAlign w:val="center"/>
                </w:tcPr>
                <w:p>
                  <w:pPr>
                    <w:adjustRightInd w:val="0"/>
                    <w:snapToGrid w:val="0"/>
                    <w:jc w:val="center"/>
                    <w:rPr>
                      <w:color w:val="000000"/>
                      <w:szCs w:val="21"/>
                    </w:rPr>
                  </w:pPr>
                  <w:r>
                    <w:rPr>
                      <w:color w:val="000000"/>
                      <w:szCs w:val="21"/>
                    </w:rPr>
                    <w:t>25.5</w:t>
                  </w:r>
                </w:p>
              </w:tc>
              <w:tc>
                <w:tcPr>
                  <w:tcW w:w="2268" w:type="dxa"/>
                  <w:vAlign w:val="center"/>
                </w:tcPr>
                <w:p>
                  <w:pPr>
                    <w:jc w:val="center"/>
                    <w:rPr>
                      <w:color w:val="000000"/>
                      <w:szCs w:val="21"/>
                    </w:rPr>
                  </w:pPr>
                  <w:r>
                    <w:rPr>
                      <w:color w:val="000000"/>
                      <w:szCs w:val="21"/>
                    </w:rPr>
                    <w:t>0.37</w:t>
                  </w:r>
                </w:p>
              </w:tc>
              <w:tc>
                <w:tcPr>
                  <w:tcW w:w="2125" w:type="dxa"/>
                  <w:vAlign w:val="center"/>
                </w:tcPr>
                <w:p>
                  <w:pPr>
                    <w:jc w:val="center"/>
                    <w:rPr>
                      <w:color w:val="000000"/>
                      <w:szCs w:val="21"/>
                    </w:rPr>
                  </w:pPr>
                  <w:r>
                    <w:rPr>
                      <w:color w:val="000000"/>
                      <w:szCs w:val="21"/>
                    </w:rPr>
                    <w:t>0.065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vAlign w:val="center"/>
                </w:tcPr>
                <w:p>
                  <w:pPr>
                    <w:adjustRightInd w:val="0"/>
                    <w:snapToGrid w:val="0"/>
                    <w:jc w:val="center"/>
                    <w:rPr>
                      <w:color w:val="000000"/>
                      <w:szCs w:val="21"/>
                    </w:rPr>
                  </w:pPr>
                  <w:r>
                    <w:rPr>
                      <w:color w:val="000000"/>
                      <w:szCs w:val="21"/>
                    </w:rPr>
                    <w:t>断面标准</w:t>
                  </w:r>
                </w:p>
              </w:tc>
              <w:tc>
                <w:tcPr>
                  <w:tcW w:w="2410" w:type="dxa"/>
                  <w:vAlign w:val="center"/>
                </w:tcPr>
                <w:p>
                  <w:pPr>
                    <w:jc w:val="center"/>
                    <w:rPr>
                      <w:color w:val="000000"/>
                      <w:szCs w:val="21"/>
                    </w:rPr>
                  </w:pPr>
                  <w:r>
                    <w:rPr>
                      <w:rFonts w:hint="eastAsia"/>
                      <w:color w:val="000000"/>
                      <w:szCs w:val="21"/>
                    </w:rPr>
                    <w:t>3</w:t>
                  </w:r>
                  <w:r>
                    <w:rPr>
                      <w:color w:val="000000"/>
                      <w:szCs w:val="21"/>
                    </w:rPr>
                    <w:t>0</w:t>
                  </w:r>
                </w:p>
              </w:tc>
              <w:tc>
                <w:tcPr>
                  <w:tcW w:w="2268" w:type="dxa"/>
                  <w:vAlign w:val="center"/>
                </w:tcPr>
                <w:p>
                  <w:pPr>
                    <w:jc w:val="center"/>
                    <w:rPr>
                      <w:color w:val="000000"/>
                      <w:szCs w:val="21"/>
                    </w:rPr>
                  </w:pPr>
                  <w:r>
                    <w:rPr>
                      <w:rFonts w:hint="eastAsia"/>
                      <w:color w:val="000000"/>
                      <w:szCs w:val="21"/>
                    </w:rPr>
                    <w:t>1</w:t>
                  </w:r>
                  <w:r>
                    <w:rPr>
                      <w:color w:val="000000"/>
                      <w:szCs w:val="21"/>
                    </w:rPr>
                    <w:t>.5</w:t>
                  </w:r>
                </w:p>
              </w:tc>
              <w:tc>
                <w:tcPr>
                  <w:tcW w:w="2125" w:type="dxa"/>
                  <w:vAlign w:val="center"/>
                </w:tcPr>
                <w:p>
                  <w:pPr>
                    <w:jc w:val="center"/>
                    <w:rPr>
                      <w:color w:val="000000"/>
                      <w:szCs w:val="21"/>
                    </w:rPr>
                  </w:pPr>
                  <w:r>
                    <w:rPr>
                      <w:rFonts w:hint="eastAsia"/>
                      <w:color w:val="000000"/>
                      <w:szCs w:val="21"/>
                    </w:rPr>
                    <w:t>0</w:t>
                  </w:r>
                  <w:r>
                    <w:rPr>
                      <w:color w:val="000000"/>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bottom w:val="single" w:color="auto" w:sz="8" w:space="0"/>
                  </w:tcBorders>
                  <w:vAlign w:val="center"/>
                </w:tcPr>
                <w:p>
                  <w:pPr>
                    <w:adjustRightInd w:val="0"/>
                    <w:snapToGrid w:val="0"/>
                    <w:jc w:val="center"/>
                    <w:rPr>
                      <w:color w:val="000000"/>
                      <w:szCs w:val="21"/>
                    </w:rPr>
                  </w:pPr>
                  <w:r>
                    <w:rPr>
                      <w:color w:val="000000"/>
                      <w:szCs w:val="21"/>
                    </w:rPr>
                    <w:t>达标情况</w:t>
                  </w:r>
                </w:p>
              </w:tc>
              <w:tc>
                <w:tcPr>
                  <w:tcW w:w="2410" w:type="dxa"/>
                  <w:tcBorders>
                    <w:bottom w:val="single" w:color="auto" w:sz="8" w:space="0"/>
                  </w:tcBorders>
                  <w:vAlign w:val="center"/>
                </w:tcPr>
                <w:p>
                  <w:pPr>
                    <w:jc w:val="center"/>
                    <w:rPr>
                      <w:color w:val="000000"/>
                      <w:szCs w:val="21"/>
                    </w:rPr>
                  </w:pPr>
                  <w:r>
                    <w:rPr>
                      <w:rFonts w:hint="eastAsia"/>
                      <w:color w:val="000000"/>
                      <w:szCs w:val="21"/>
                    </w:rPr>
                    <w:t>达标</w:t>
                  </w:r>
                </w:p>
              </w:tc>
              <w:tc>
                <w:tcPr>
                  <w:tcW w:w="2268" w:type="dxa"/>
                  <w:tcBorders>
                    <w:bottom w:val="single" w:color="auto" w:sz="8" w:space="0"/>
                  </w:tcBorders>
                  <w:vAlign w:val="center"/>
                </w:tcPr>
                <w:p>
                  <w:pPr>
                    <w:jc w:val="center"/>
                    <w:rPr>
                      <w:color w:val="000000"/>
                      <w:szCs w:val="21"/>
                    </w:rPr>
                  </w:pPr>
                  <w:r>
                    <w:rPr>
                      <w:rFonts w:hint="eastAsia"/>
                      <w:color w:val="000000"/>
                      <w:szCs w:val="21"/>
                    </w:rPr>
                    <w:t>达标</w:t>
                  </w:r>
                </w:p>
              </w:tc>
              <w:tc>
                <w:tcPr>
                  <w:tcW w:w="2125" w:type="dxa"/>
                  <w:tcBorders>
                    <w:bottom w:val="single" w:color="auto" w:sz="8" w:space="0"/>
                  </w:tcBorders>
                  <w:vAlign w:val="center"/>
                </w:tcPr>
                <w:p>
                  <w:pPr>
                    <w:jc w:val="center"/>
                    <w:rPr>
                      <w:color w:val="000000"/>
                      <w:szCs w:val="21"/>
                    </w:rPr>
                  </w:pPr>
                  <w:r>
                    <w:rPr>
                      <w:rFonts w:hint="eastAsia"/>
                      <w:color w:val="000000"/>
                      <w:szCs w:val="21"/>
                    </w:rPr>
                    <w:t>达标</w:t>
                  </w:r>
                </w:p>
              </w:tc>
            </w:tr>
          </w:tbl>
          <w:p>
            <w:pPr>
              <w:adjustRightInd w:val="0"/>
              <w:snapToGrid w:val="0"/>
              <w:spacing w:line="460" w:lineRule="exact"/>
              <w:ind w:firstLine="480" w:firstLineChars="200"/>
              <w:rPr>
                <w:color w:val="000000"/>
                <w:sz w:val="24"/>
              </w:rPr>
            </w:pPr>
            <w:r>
              <w:rPr>
                <w:color w:val="000000"/>
                <w:sz w:val="24"/>
              </w:rPr>
              <w:t>由上表可知，COD、NH</w:t>
            </w:r>
            <w:r>
              <w:rPr>
                <w:color w:val="000000"/>
                <w:sz w:val="24"/>
                <w:vertAlign w:val="subscript"/>
              </w:rPr>
              <w:t>3</w:t>
            </w:r>
            <w:r>
              <w:rPr>
                <w:color w:val="000000"/>
                <w:sz w:val="24"/>
              </w:rPr>
              <w:t>-N、TP浓度均达标。</w:t>
            </w:r>
          </w:p>
          <w:p>
            <w:pPr>
              <w:adjustRightInd w:val="0"/>
              <w:snapToGrid w:val="0"/>
              <w:spacing w:line="460" w:lineRule="exact"/>
              <w:ind w:firstLine="482" w:firstLineChars="200"/>
              <w:rPr>
                <w:b/>
                <w:color w:val="000000"/>
                <w:sz w:val="24"/>
              </w:rPr>
            </w:pPr>
            <w:r>
              <w:rPr>
                <w:b/>
                <w:color w:val="000000"/>
                <w:sz w:val="24"/>
              </w:rPr>
              <w:t>3、声环境质量现状</w:t>
            </w:r>
          </w:p>
          <w:p>
            <w:pPr>
              <w:spacing w:line="460" w:lineRule="exact"/>
              <w:ind w:firstLine="480" w:firstLineChars="200"/>
              <w:rPr>
                <w:color w:val="000000"/>
                <w:sz w:val="24"/>
              </w:rPr>
            </w:pPr>
            <w:r>
              <w:rPr>
                <w:color w:val="000000"/>
                <w:sz w:val="24"/>
              </w:rPr>
              <w:t>根据《建设项目环境影响报告表编制技术指南（污染影响类）（试行）》，本项目厂界外周边50米范围内不存在声环境保护目标，因此不进行声环境质量现状调查。</w:t>
            </w:r>
          </w:p>
          <w:p>
            <w:pPr>
              <w:adjustRightInd w:val="0"/>
              <w:snapToGrid w:val="0"/>
              <w:spacing w:line="460" w:lineRule="exact"/>
              <w:ind w:firstLine="482" w:firstLineChars="200"/>
              <w:rPr>
                <w:b/>
                <w:color w:val="000000"/>
                <w:sz w:val="24"/>
              </w:rPr>
            </w:pPr>
            <w:r>
              <w:rPr>
                <w:b/>
                <w:color w:val="000000"/>
                <w:sz w:val="24"/>
              </w:rPr>
              <w:t>4、地下水、土壤环境质量现状</w:t>
            </w:r>
          </w:p>
          <w:p>
            <w:pPr>
              <w:spacing w:line="460" w:lineRule="exact"/>
              <w:ind w:firstLine="480" w:firstLineChars="200"/>
              <w:rPr>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pPr>
              <w:adjustRightInd w:val="0"/>
              <w:snapToGrid w:val="0"/>
              <w:spacing w:line="460" w:lineRule="exact"/>
              <w:ind w:firstLine="482" w:firstLineChars="200"/>
              <w:rPr>
                <w:b/>
                <w:color w:val="000000"/>
                <w:sz w:val="24"/>
              </w:rPr>
            </w:pPr>
            <w:r>
              <w:rPr>
                <w:b/>
                <w:color w:val="000000"/>
                <w:sz w:val="24"/>
              </w:rPr>
              <w:t>5、生态环境现状</w:t>
            </w:r>
          </w:p>
          <w:p>
            <w:pPr>
              <w:adjustRightInd w:val="0"/>
              <w:snapToGrid w:val="0"/>
              <w:spacing w:line="460" w:lineRule="exact"/>
              <w:ind w:firstLine="480" w:firstLineChars="200"/>
              <w:rPr>
                <w:color w:val="000000"/>
              </w:rPr>
            </w:pPr>
            <w:r>
              <w:rPr>
                <w:color w:val="000000"/>
                <w:sz w:val="24"/>
              </w:rPr>
              <w:t>根据《建设项目环境影响报告表编制技术指南（污染影响类）（试行）》，产业园区外建设项目新增用地且用地范围内含有生态环境保护目标时，应进行生态现状调查。本项目位于</w:t>
            </w:r>
            <w:r>
              <w:rPr>
                <w:rFonts w:hint="eastAsia"/>
                <w:color w:val="000000"/>
                <w:sz w:val="24"/>
              </w:rPr>
              <w:t>新乡市获嘉县亢村镇产业新城纬八路2号，属于新乡市获嘉县产业集聚区</w:t>
            </w:r>
            <w:r>
              <w:rPr>
                <w:color w:val="000000"/>
                <w:sz w:val="24"/>
              </w:rPr>
              <w:t>且用地范围内不含有生态环境保护目标，因此不进行生态环境现状调查。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adjustRightInd w:val="0"/>
              <w:snapToGrid w:val="0"/>
              <w:spacing w:line="460" w:lineRule="exact"/>
              <w:rPr>
                <w:b/>
                <w:color w:val="000000"/>
                <w:sz w:val="24"/>
              </w:rPr>
            </w:pPr>
            <w:r>
              <w:rPr>
                <w:b/>
                <w:color w:val="000000"/>
                <w:sz w:val="24"/>
              </w:rPr>
              <w:t>主要环境保护目标</w:t>
            </w:r>
          </w:p>
          <w:p>
            <w:pPr>
              <w:adjustRightInd w:val="0"/>
              <w:snapToGrid w:val="0"/>
              <w:spacing w:line="460" w:lineRule="exact"/>
              <w:ind w:firstLine="480" w:firstLineChars="200"/>
              <w:rPr>
                <w:rFonts w:ascii="宋体" w:hAnsi="宋体" w:cs="宋体"/>
                <w:kern w:val="0"/>
                <w:szCs w:val="21"/>
              </w:rPr>
            </w:pPr>
            <w:r>
              <w:rPr>
                <w:color w:val="000000"/>
                <w:sz w:val="24"/>
              </w:rPr>
              <w:t>根据《建设项目环境影响报告表编制技术指南（污染影响类）（试行）》，本项目厂界外500米内不存在大气环境保护目标，50米范围内不存在声环境保护目标，500米范围内不存在地下水环境保护目标。本项目位于</w:t>
            </w:r>
            <w:r>
              <w:rPr>
                <w:rFonts w:hint="eastAsia"/>
                <w:color w:val="000000"/>
                <w:sz w:val="24"/>
              </w:rPr>
              <w:t>新乡市获嘉县亢村镇产业新城纬八路2号</w:t>
            </w:r>
            <w:r>
              <w:rPr>
                <w:color w:val="000000"/>
                <w:sz w:val="24"/>
              </w:rPr>
              <w:t>，</w:t>
            </w:r>
            <w:r>
              <w:rPr>
                <w:rFonts w:hint="eastAsia"/>
                <w:color w:val="000000"/>
                <w:sz w:val="24"/>
              </w:rPr>
              <w:t>属于新乡市获嘉县产业集聚区，</w:t>
            </w:r>
            <w:r>
              <w:rPr>
                <w:color w:val="000000"/>
                <w:sz w:val="24"/>
              </w:rPr>
              <w:t>用地范围内不含有生态环境保护目标，</w:t>
            </w:r>
            <w:r>
              <w:rPr>
                <w:rFonts w:hint="eastAsia"/>
                <w:color w:val="000000"/>
                <w:sz w:val="24"/>
              </w:rPr>
              <w:t>因此本项目不涉及环境保护目标。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800"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pPr>
              <w:adjustRightInd w:val="0"/>
              <w:snapToGrid w:val="0"/>
              <w:spacing w:line="460" w:lineRule="exact"/>
              <w:ind w:firstLine="480" w:firstLineChars="200"/>
              <w:rPr>
                <w:rFonts w:eastAsia="黑体"/>
                <w:color w:val="000000"/>
                <w:sz w:val="24"/>
              </w:rPr>
            </w:pPr>
            <w:r>
              <w:rPr>
                <w:rFonts w:eastAsia="黑体"/>
                <w:color w:val="000000"/>
                <w:sz w:val="24"/>
              </w:rPr>
              <w:t>表20                  污染物排放标准</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5"/>
              <w:gridCol w:w="4394"/>
              <w:gridCol w:w="567"/>
              <w:gridCol w:w="1134"/>
              <w:gridCol w:w="11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tcBorders>
                    <w:top w:val="single" w:color="auto" w:sz="8" w:space="0"/>
                    <w:bottom w:val="single" w:color="auto" w:sz="4" w:space="0"/>
                    <w:right w:val="single" w:color="auto" w:sz="4" w:space="0"/>
                  </w:tcBorders>
                  <w:vAlign w:val="center"/>
                </w:tcPr>
                <w:p>
                  <w:pPr>
                    <w:jc w:val="center"/>
                    <w:rPr>
                      <w:b/>
                      <w:color w:val="000000"/>
                      <w:szCs w:val="21"/>
                    </w:rPr>
                  </w:pPr>
                  <w:r>
                    <w:rPr>
                      <w:b/>
                      <w:color w:val="000000"/>
                      <w:szCs w:val="21"/>
                    </w:rPr>
                    <w:t>污染物</w:t>
                  </w:r>
                </w:p>
              </w:tc>
              <w:tc>
                <w:tcPr>
                  <w:tcW w:w="4394"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标准名称</w:t>
                  </w:r>
                </w:p>
              </w:tc>
              <w:tc>
                <w:tcPr>
                  <w:tcW w:w="1701" w:type="dxa"/>
                  <w:gridSpan w:val="2"/>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污染因子</w:t>
                  </w:r>
                </w:p>
              </w:tc>
              <w:tc>
                <w:tcPr>
                  <w:tcW w:w="1144" w:type="dxa"/>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restart"/>
                  <w:tcBorders>
                    <w:right w:val="single" w:color="auto" w:sz="4" w:space="0"/>
                  </w:tcBorders>
                  <w:vAlign w:val="center"/>
                </w:tcPr>
                <w:p>
                  <w:pPr>
                    <w:jc w:val="center"/>
                    <w:rPr>
                      <w:color w:val="000000"/>
                      <w:szCs w:val="21"/>
                    </w:rPr>
                  </w:pPr>
                  <w:r>
                    <w:rPr>
                      <w:color w:val="000000"/>
                      <w:szCs w:val="21"/>
                    </w:rPr>
                    <w:t>废水</w:t>
                  </w:r>
                </w:p>
              </w:tc>
              <w:tc>
                <w:tcPr>
                  <w:tcW w:w="4394" w:type="dxa"/>
                  <w:vMerge w:val="restart"/>
                  <w:tcBorders>
                    <w:left w:val="single" w:color="auto" w:sz="4" w:space="0"/>
                    <w:right w:val="single" w:color="auto" w:sz="4" w:space="0"/>
                  </w:tcBorders>
                  <w:vAlign w:val="center"/>
                </w:tcPr>
                <w:p>
                  <w:pPr>
                    <w:jc w:val="center"/>
                    <w:rPr>
                      <w:color w:val="333333"/>
                      <w:szCs w:val="21"/>
                      <w:highlight w:val="yellow"/>
                    </w:rPr>
                  </w:pPr>
                  <w:r>
                    <w:rPr>
                      <w:rFonts w:hint="eastAsia"/>
                      <w:color w:val="333333"/>
                      <w:szCs w:val="21"/>
                    </w:rPr>
                    <w:t>获嘉县亢村污水处理厂收水标准</w:t>
                  </w:r>
                </w:p>
              </w:tc>
              <w:tc>
                <w:tcPr>
                  <w:tcW w:w="1701"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szCs w:val="21"/>
                    </w:rPr>
                    <w:t>COD</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szCs w:val="21"/>
                    </w:rPr>
                    <w:t>350</w:t>
                  </w:r>
                  <w:r>
                    <w:rPr>
                      <w:kern w:val="0"/>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right w:val="single" w:color="auto" w:sz="4" w:space="0"/>
                  </w:tcBorders>
                  <w:vAlign w:val="center"/>
                </w:tcPr>
                <w:p>
                  <w:pPr>
                    <w:jc w:val="center"/>
                    <w:rPr>
                      <w:color w:val="000000"/>
                      <w:szCs w:val="21"/>
                    </w:rPr>
                  </w:pPr>
                </w:p>
              </w:tc>
              <w:tc>
                <w:tcPr>
                  <w:tcW w:w="4394" w:type="dxa"/>
                  <w:vMerge w:val="continue"/>
                  <w:tcBorders>
                    <w:left w:val="single" w:color="auto" w:sz="4" w:space="0"/>
                    <w:right w:val="single" w:color="auto" w:sz="4" w:space="0"/>
                  </w:tcBorders>
                  <w:vAlign w:val="center"/>
                </w:tcPr>
                <w:p>
                  <w:pPr>
                    <w:jc w:val="center"/>
                    <w:rPr>
                      <w:color w:val="333333"/>
                      <w:szCs w:val="21"/>
                      <w:highlight w:val="yellow"/>
                    </w:rPr>
                  </w:pPr>
                </w:p>
              </w:tc>
              <w:tc>
                <w:tcPr>
                  <w:tcW w:w="1701"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szCs w:val="21"/>
                    </w:rPr>
                    <w:t>NH</w:t>
                  </w:r>
                  <w:r>
                    <w:rPr>
                      <w:szCs w:val="21"/>
                      <w:vertAlign w:val="subscript"/>
                    </w:rPr>
                    <w:t>3</w:t>
                  </w:r>
                  <w:r>
                    <w:rPr>
                      <w:szCs w:val="21"/>
                    </w:rPr>
                    <w:t>-N</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szCs w:val="21"/>
                    </w:rPr>
                    <w:t>40</w:t>
                  </w:r>
                  <w:r>
                    <w:rPr>
                      <w:kern w:val="0"/>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right w:val="single" w:color="auto" w:sz="4" w:space="0"/>
                  </w:tcBorders>
                  <w:vAlign w:val="center"/>
                </w:tcPr>
                <w:p>
                  <w:pPr>
                    <w:jc w:val="center"/>
                    <w:rPr>
                      <w:color w:val="000000"/>
                      <w:szCs w:val="21"/>
                    </w:rPr>
                  </w:pPr>
                </w:p>
              </w:tc>
              <w:tc>
                <w:tcPr>
                  <w:tcW w:w="4394" w:type="dxa"/>
                  <w:vMerge w:val="continue"/>
                  <w:tcBorders>
                    <w:left w:val="single" w:color="auto" w:sz="4" w:space="0"/>
                    <w:right w:val="single" w:color="auto" w:sz="4" w:space="0"/>
                  </w:tcBorders>
                  <w:vAlign w:val="center"/>
                </w:tcPr>
                <w:p>
                  <w:pPr>
                    <w:jc w:val="center"/>
                    <w:rPr>
                      <w:color w:val="333333"/>
                      <w:szCs w:val="21"/>
                      <w:highlight w:val="yellow"/>
                    </w:rPr>
                  </w:pPr>
                </w:p>
              </w:tc>
              <w:tc>
                <w:tcPr>
                  <w:tcW w:w="1701"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szCs w:val="21"/>
                    </w:rPr>
                    <w:t>SS</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szCs w:val="21"/>
                    </w:rPr>
                    <w:t>280</w:t>
                  </w:r>
                  <w:r>
                    <w:rPr>
                      <w:kern w:val="0"/>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right w:val="single" w:color="auto" w:sz="4" w:space="0"/>
                  </w:tcBorders>
                  <w:vAlign w:val="center"/>
                </w:tcPr>
                <w:p>
                  <w:pPr>
                    <w:jc w:val="center"/>
                    <w:rPr>
                      <w:color w:val="000000"/>
                      <w:szCs w:val="21"/>
                    </w:rPr>
                  </w:pPr>
                </w:p>
              </w:tc>
              <w:tc>
                <w:tcPr>
                  <w:tcW w:w="4394" w:type="dxa"/>
                  <w:vMerge w:val="continue"/>
                  <w:tcBorders>
                    <w:left w:val="single" w:color="auto" w:sz="4" w:space="0"/>
                    <w:right w:val="single" w:color="auto" w:sz="4" w:space="0"/>
                  </w:tcBorders>
                  <w:vAlign w:val="center"/>
                </w:tcPr>
                <w:p>
                  <w:pPr>
                    <w:jc w:val="center"/>
                    <w:rPr>
                      <w:color w:val="333333"/>
                      <w:szCs w:val="21"/>
                      <w:highlight w:val="yellow"/>
                    </w:rPr>
                  </w:pPr>
                </w:p>
              </w:tc>
              <w:tc>
                <w:tcPr>
                  <w:tcW w:w="1701" w:type="dxa"/>
                  <w:gridSpan w:val="2"/>
                  <w:tcBorders>
                    <w:left w:val="single" w:color="auto" w:sz="4" w:space="0"/>
                    <w:right w:val="single" w:color="auto" w:sz="4" w:space="0"/>
                  </w:tcBorders>
                  <w:vAlign w:val="center"/>
                </w:tcPr>
                <w:p>
                  <w:pPr>
                    <w:contextualSpacing/>
                    <w:jc w:val="center"/>
                    <w:textAlignment w:val="baseline"/>
                    <w:rPr>
                      <w:kern w:val="0"/>
                      <w:szCs w:val="21"/>
                    </w:rPr>
                  </w:pPr>
                  <w:r>
                    <w:rPr>
                      <w:szCs w:val="21"/>
                    </w:rPr>
                    <w:t>TP</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szCs w:val="21"/>
                    </w:rPr>
                    <w:t>5</w:t>
                  </w:r>
                  <w:r>
                    <w:rPr>
                      <w:kern w:val="0"/>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right w:val="single" w:color="auto" w:sz="4" w:space="0"/>
                  </w:tcBorders>
                  <w:vAlign w:val="center"/>
                </w:tcPr>
                <w:p>
                  <w:pPr>
                    <w:jc w:val="center"/>
                    <w:rPr>
                      <w:color w:val="000000"/>
                      <w:szCs w:val="21"/>
                    </w:rPr>
                  </w:pPr>
                </w:p>
              </w:tc>
              <w:tc>
                <w:tcPr>
                  <w:tcW w:w="4394" w:type="dxa"/>
                  <w:vMerge w:val="continue"/>
                  <w:tcBorders>
                    <w:left w:val="single" w:color="auto" w:sz="4" w:space="0"/>
                    <w:right w:val="single" w:color="auto" w:sz="4" w:space="0"/>
                  </w:tcBorders>
                  <w:vAlign w:val="center"/>
                </w:tcPr>
                <w:p>
                  <w:pPr>
                    <w:jc w:val="center"/>
                    <w:rPr>
                      <w:color w:val="333333"/>
                      <w:szCs w:val="21"/>
                      <w:highlight w:val="yellow"/>
                    </w:rPr>
                  </w:pPr>
                </w:p>
              </w:tc>
              <w:tc>
                <w:tcPr>
                  <w:tcW w:w="1701" w:type="dxa"/>
                  <w:gridSpan w:val="2"/>
                  <w:tcBorders>
                    <w:left w:val="single" w:color="auto" w:sz="4" w:space="0"/>
                    <w:right w:val="single" w:color="auto" w:sz="4" w:space="0"/>
                  </w:tcBorders>
                  <w:vAlign w:val="center"/>
                </w:tcPr>
                <w:p>
                  <w:pPr>
                    <w:contextualSpacing/>
                    <w:jc w:val="center"/>
                    <w:textAlignment w:val="baseline"/>
                    <w:rPr>
                      <w:kern w:val="0"/>
                      <w:szCs w:val="21"/>
                    </w:rPr>
                  </w:pPr>
                  <w:r>
                    <w:rPr>
                      <w:szCs w:val="21"/>
                    </w:rPr>
                    <w:t>TN</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szCs w:val="21"/>
                    </w:rPr>
                    <w:t>50</w:t>
                  </w:r>
                  <w:r>
                    <w:rPr>
                      <w:kern w:val="0"/>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restart"/>
                  <w:tcBorders>
                    <w:right w:val="single" w:color="auto" w:sz="4" w:space="0"/>
                  </w:tcBorders>
                  <w:vAlign w:val="center"/>
                </w:tcPr>
                <w:p>
                  <w:pPr>
                    <w:jc w:val="center"/>
                    <w:rPr>
                      <w:color w:val="000000"/>
                      <w:szCs w:val="21"/>
                    </w:rPr>
                  </w:pPr>
                  <w:r>
                    <w:rPr>
                      <w:color w:val="000000"/>
                      <w:szCs w:val="21"/>
                    </w:rPr>
                    <w:t>废气</w:t>
                  </w:r>
                </w:p>
              </w:tc>
              <w:tc>
                <w:tcPr>
                  <w:tcW w:w="4394" w:type="dxa"/>
                  <w:vMerge w:val="restart"/>
                  <w:tcBorders>
                    <w:left w:val="single" w:color="auto" w:sz="4" w:space="0"/>
                    <w:right w:val="single" w:color="auto" w:sz="4" w:space="0"/>
                  </w:tcBorders>
                  <w:vAlign w:val="center"/>
                </w:tcPr>
                <w:p>
                  <w:pPr>
                    <w:jc w:val="center"/>
                    <w:rPr>
                      <w:rFonts w:cs="Calibri"/>
                      <w:color w:val="000000"/>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号）附件1医药制造工业、附件2</w:t>
                  </w:r>
                </w:p>
              </w:tc>
              <w:tc>
                <w:tcPr>
                  <w:tcW w:w="567" w:type="dxa"/>
                  <w:vMerge w:val="restart"/>
                  <w:tcBorders>
                    <w:left w:val="single" w:color="auto" w:sz="4" w:space="0"/>
                    <w:right w:val="single" w:color="auto" w:sz="4" w:space="0"/>
                  </w:tcBorders>
                  <w:vAlign w:val="center"/>
                </w:tcPr>
                <w:p>
                  <w:pPr>
                    <w:jc w:val="center"/>
                    <w:rPr>
                      <w:rFonts w:cs="Calibri"/>
                      <w:color w:val="000000"/>
                      <w:szCs w:val="21"/>
                    </w:rPr>
                  </w:pPr>
                  <w:r>
                    <w:rPr>
                      <w:rFonts w:hint="eastAsia" w:cs="Calibri"/>
                      <w:color w:val="000000"/>
                      <w:szCs w:val="21"/>
                    </w:rPr>
                    <w:t>非甲烷总烃</w:t>
                  </w:r>
                </w:p>
              </w:tc>
              <w:tc>
                <w:tcPr>
                  <w:tcW w:w="1134" w:type="dxa"/>
                  <w:tcBorders>
                    <w:left w:val="single" w:color="auto" w:sz="4" w:space="0"/>
                    <w:right w:val="single" w:color="auto" w:sz="4" w:space="0"/>
                  </w:tcBorders>
                  <w:vAlign w:val="center"/>
                </w:tcPr>
                <w:p>
                  <w:pPr>
                    <w:jc w:val="center"/>
                    <w:rPr>
                      <w:rFonts w:cs="Calibri"/>
                      <w:color w:val="000000"/>
                      <w:szCs w:val="21"/>
                    </w:rPr>
                  </w:pPr>
                  <w:r>
                    <w:rPr>
                      <w:rFonts w:hint="eastAsia" w:cs="Calibri"/>
                      <w:color w:val="000000"/>
                      <w:szCs w:val="21"/>
                    </w:rPr>
                    <w:t>有组织排放口</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bCs/>
                      <w:color w:val="000000"/>
                      <w:szCs w:val="21"/>
                    </w:rPr>
                    <w:t>60mg/m</w:t>
                  </w:r>
                  <w:r>
                    <w:rPr>
                      <w:bCs/>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right w:val="single" w:color="auto" w:sz="4" w:space="0"/>
                  </w:tcBorders>
                  <w:vAlign w:val="center"/>
                </w:tcPr>
                <w:p>
                  <w:pPr>
                    <w:jc w:val="center"/>
                    <w:rPr>
                      <w:color w:val="000000"/>
                      <w:szCs w:val="21"/>
                    </w:rPr>
                  </w:pPr>
                </w:p>
              </w:tc>
              <w:tc>
                <w:tcPr>
                  <w:tcW w:w="4394" w:type="dxa"/>
                  <w:vMerge w:val="continue"/>
                  <w:tcBorders>
                    <w:left w:val="single" w:color="auto" w:sz="4" w:space="0"/>
                    <w:right w:val="single" w:color="auto" w:sz="4" w:space="0"/>
                  </w:tcBorders>
                  <w:vAlign w:val="center"/>
                </w:tcPr>
                <w:p>
                  <w:pPr>
                    <w:jc w:val="center"/>
                    <w:rPr>
                      <w:rFonts w:cs="Calibri"/>
                      <w:color w:val="000000"/>
                      <w:szCs w:val="21"/>
                    </w:rPr>
                  </w:pPr>
                </w:p>
              </w:tc>
              <w:tc>
                <w:tcPr>
                  <w:tcW w:w="567" w:type="dxa"/>
                  <w:vMerge w:val="continue"/>
                  <w:tcBorders>
                    <w:left w:val="single" w:color="auto" w:sz="4" w:space="0"/>
                    <w:right w:val="single" w:color="auto" w:sz="4" w:space="0"/>
                  </w:tcBorders>
                  <w:vAlign w:val="center"/>
                </w:tcPr>
                <w:p>
                  <w:pPr>
                    <w:jc w:val="center"/>
                    <w:rPr>
                      <w:rFonts w:cs="Calibri"/>
                      <w:color w:val="000000"/>
                      <w:szCs w:val="21"/>
                    </w:rPr>
                  </w:pPr>
                </w:p>
              </w:tc>
              <w:tc>
                <w:tcPr>
                  <w:tcW w:w="1134" w:type="dxa"/>
                  <w:tcBorders>
                    <w:left w:val="single" w:color="auto" w:sz="4" w:space="0"/>
                    <w:right w:val="single" w:color="auto" w:sz="4" w:space="0"/>
                  </w:tcBorders>
                  <w:vAlign w:val="center"/>
                </w:tcPr>
                <w:p>
                  <w:pPr>
                    <w:jc w:val="center"/>
                    <w:rPr>
                      <w:rFonts w:cs="Calibri"/>
                      <w:color w:val="000000"/>
                      <w:szCs w:val="21"/>
                    </w:rPr>
                  </w:pPr>
                  <w:r>
                    <w:rPr>
                      <w:rFonts w:hint="eastAsia" w:cs="Calibri"/>
                      <w:color w:val="000000"/>
                      <w:szCs w:val="21"/>
                    </w:rPr>
                    <w:t>厂界无组织</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bCs/>
                      <w:color w:val="000000"/>
                      <w:szCs w:val="21"/>
                    </w:rPr>
                    <w:t>2.0mg/m</w:t>
                  </w:r>
                  <w:r>
                    <w:rPr>
                      <w:bCs/>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tcBorders>
                    <w:top w:val="single" w:color="auto" w:sz="4" w:space="0"/>
                    <w:right w:val="single" w:color="auto" w:sz="4" w:space="0"/>
                  </w:tcBorders>
                  <w:vAlign w:val="center"/>
                </w:tcPr>
                <w:p>
                  <w:pPr>
                    <w:jc w:val="center"/>
                    <w:rPr>
                      <w:color w:val="000000"/>
                      <w:szCs w:val="21"/>
                    </w:rPr>
                  </w:pPr>
                  <w:r>
                    <w:rPr>
                      <w:color w:val="000000"/>
                      <w:szCs w:val="21"/>
                    </w:rPr>
                    <w:t>噪声</w:t>
                  </w:r>
                </w:p>
              </w:tc>
              <w:tc>
                <w:tcPr>
                  <w:tcW w:w="4394" w:type="dxa"/>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《工业企业厂界环境噪声排放标准》（GB12348-2008）3类</w:t>
                  </w:r>
                </w:p>
              </w:tc>
              <w:tc>
                <w:tcPr>
                  <w:tcW w:w="1701" w:type="dxa"/>
                  <w:gridSpan w:val="2"/>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噪声</w:t>
                  </w:r>
                </w:p>
              </w:tc>
              <w:tc>
                <w:tcPr>
                  <w:tcW w:w="114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昼间65dB(A)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restart"/>
                  <w:tcBorders>
                    <w:top w:val="single" w:color="auto" w:sz="4" w:space="0"/>
                    <w:right w:val="single" w:color="auto" w:sz="4" w:space="0"/>
                  </w:tcBorders>
                  <w:vAlign w:val="center"/>
                </w:tcPr>
                <w:p>
                  <w:pPr>
                    <w:jc w:val="center"/>
                    <w:rPr>
                      <w:color w:val="000000"/>
                      <w:szCs w:val="21"/>
                    </w:rPr>
                  </w:pPr>
                  <w:r>
                    <w:rPr>
                      <w:color w:val="000000"/>
                      <w:szCs w:val="21"/>
                    </w:rPr>
                    <w:t>固废</w:t>
                  </w:r>
                </w:p>
              </w:tc>
              <w:tc>
                <w:tcPr>
                  <w:tcW w:w="7239" w:type="dxa"/>
                  <w:gridSpan w:val="4"/>
                  <w:tcBorders>
                    <w:top w:val="single" w:color="auto" w:sz="4" w:space="0"/>
                    <w:left w:val="single" w:color="auto" w:sz="4" w:space="0"/>
                    <w:bottom w:val="single" w:color="auto" w:sz="4" w:space="0"/>
                  </w:tcBorders>
                  <w:vAlign w:val="center"/>
                </w:tcPr>
                <w:p>
                  <w:pPr>
                    <w:jc w:val="center"/>
                    <w:rPr>
                      <w:color w:val="000000"/>
                      <w:szCs w:val="21"/>
                      <w:highlight w:val="yellow"/>
                    </w:rPr>
                  </w:pPr>
                  <w:r>
                    <w:rPr>
                      <w:color w:val="000000"/>
                      <w:szCs w:val="21"/>
                    </w:rPr>
                    <w:t>《一般工业固体废物贮存和填埋污染控制标准》（GB18599-2020）的</w:t>
                  </w:r>
                  <w:r>
                    <w:rPr>
                      <w:rFonts w:hint="eastAsia"/>
                      <w:color w:val="000000"/>
                      <w:szCs w:val="21"/>
                    </w:rPr>
                    <w:t>防渗漏、防雨淋、防扬尘的要求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5" w:type="dxa"/>
                  <w:vMerge w:val="continue"/>
                  <w:tcBorders>
                    <w:bottom w:val="single" w:color="auto" w:sz="8" w:space="0"/>
                    <w:right w:val="single" w:color="auto" w:sz="4" w:space="0"/>
                  </w:tcBorders>
                  <w:vAlign w:val="center"/>
                </w:tcPr>
                <w:p>
                  <w:pPr>
                    <w:jc w:val="center"/>
                    <w:rPr>
                      <w:color w:val="000000"/>
                      <w:szCs w:val="21"/>
                    </w:rPr>
                  </w:pPr>
                </w:p>
              </w:tc>
              <w:tc>
                <w:tcPr>
                  <w:tcW w:w="7239" w:type="dxa"/>
                  <w:gridSpan w:val="4"/>
                  <w:tcBorders>
                    <w:top w:val="single" w:color="auto" w:sz="4" w:space="0"/>
                    <w:left w:val="single" w:color="auto" w:sz="4" w:space="0"/>
                    <w:bottom w:val="single" w:color="auto" w:sz="8" w:space="0"/>
                  </w:tcBorders>
                  <w:vAlign w:val="center"/>
                </w:tcPr>
                <w:p>
                  <w:pPr>
                    <w:jc w:val="center"/>
                    <w:rPr>
                      <w:color w:val="000000"/>
                      <w:szCs w:val="21"/>
                    </w:rPr>
                  </w:pPr>
                  <w:r>
                    <w:rPr>
                      <w:color w:val="000000"/>
                      <w:szCs w:val="21"/>
                    </w:rPr>
                    <w:t>《危险废物贮存污染控制标准》（GB18597-2001）及2013修改单</w:t>
                  </w:r>
                </w:p>
              </w:tc>
            </w:tr>
          </w:tbl>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pPr>
              <w:adjustRightInd w:val="0"/>
              <w:snapToGrid w:val="0"/>
              <w:spacing w:line="460" w:lineRule="exact"/>
              <w:ind w:firstLine="480" w:firstLineChars="200"/>
              <w:rPr>
                <w:color w:val="000000"/>
                <w:sz w:val="24"/>
              </w:rPr>
            </w:pPr>
            <w:r>
              <w:rPr>
                <w:color w:val="000000"/>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adjustRightInd w:val="0"/>
              <w:snapToGrid w:val="0"/>
              <w:spacing w:line="460" w:lineRule="exact"/>
              <w:ind w:firstLine="480" w:firstLineChars="200"/>
              <w:rPr>
                <w:color w:val="000000"/>
                <w:sz w:val="24"/>
              </w:rPr>
            </w:pPr>
            <w:r>
              <w:rPr>
                <w:rFonts w:cs="Calibri"/>
                <w:sz w:val="24"/>
              </w:rPr>
              <w:t>项目建成后全厂污染物排放情况见下表。</w:t>
            </w:r>
          </w:p>
          <w:p>
            <w:pPr>
              <w:adjustRightInd w:val="0"/>
              <w:snapToGrid w:val="0"/>
              <w:spacing w:line="460" w:lineRule="exact"/>
              <w:ind w:firstLine="480" w:firstLineChars="200"/>
              <w:rPr>
                <w:rFonts w:eastAsia="黑体"/>
                <w:sz w:val="24"/>
              </w:rPr>
            </w:pPr>
            <w:r>
              <w:rPr>
                <w:rFonts w:eastAsia="黑体"/>
                <w:sz w:val="24"/>
              </w:rPr>
              <w:t>表21       本项目建成后全厂污染物排放情况一览表      单位：t/a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0"/>
              <w:gridCol w:w="1424"/>
              <w:gridCol w:w="1295"/>
              <w:gridCol w:w="1284"/>
              <w:gridCol w:w="1133"/>
              <w:gridCol w:w="1133"/>
              <w:gridCol w:w="9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34" w:type="dxa"/>
                  <w:gridSpan w:val="2"/>
                  <w:vMerge w:val="restart"/>
                  <w:tcMar>
                    <w:left w:w="28" w:type="dxa"/>
                    <w:right w:w="28" w:type="dxa"/>
                  </w:tcMar>
                  <w:vAlign w:val="center"/>
                </w:tcPr>
                <w:p>
                  <w:pPr>
                    <w:jc w:val="center"/>
                    <w:rPr>
                      <w:b/>
                      <w:kern w:val="0"/>
                      <w:szCs w:val="21"/>
                    </w:rPr>
                  </w:pPr>
                  <w:r>
                    <w:rPr>
                      <w:b/>
                      <w:kern w:val="0"/>
                      <w:szCs w:val="21"/>
                    </w:rPr>
                    <w:t>污染物</w:t>
                  </w:r>
                </w:p>
              </w:tc>
              <w:tc>
                <w:tcPr>
                  <w:tcW w:w="2579" w:type="dxa"/>
                  <w:gridSpan w:val="2"/>
                  <w:tcMar>
                    <w:left w:w="28" w:type="dxa"/>
                    <w:right w:w="28" w:type="dxa"/>
                  </w:tcMar>
                  <w:vAlign w:val="center"/>
                </w:tcPr>
                <w:p>
                  <w:pPr>
                    <w:widowControl/>
                    <w:jc w:val="center"/>
                    <w:rPr>
                      <w:b/>
                      <w:kern w:val="0"/>
                      <w:szCs w:val="21"/>
                    </w:rPr>
                  </w:pPr>
                  <w:r>
                    <w:rPr>
                      <w:rFonts w:hint="eastAsia"/>
                      <w:b/>
                      <w:kern w:val="0"/>
                      <w:szCs w:val="21"/>
                    </w:rPr>
                    <w:t>在建</w:t>
                  </w:r>
                  <w:r>
                    <w:rPr>
                      <w:b/>
                      <w:kern w:val="0"/>
                      <w:szCs w:val="21"/>
                    </w:rPr>
                    <w:t>工程</w:t>
                  </w:r>
                </w:p>
              </w:tc>
              <w:tc>
                <w:tcPr>
                  <w:tcW w:w="1133" w:type="dxa"/>
                  <w:vMerge w:val="restart"/>
                  <w:tcMar>
                    <w:left w:w="28" w:type="dxa"/>
                    <w:right w:w="28" w:type="dxa"/>
                  </w:tcMar>
                  <w:vAlign w:val="center"/>
                </w:tcPr>
                <w:p>
                  <w:pPr>
                    <w:widowControl/>
                    <w:jc w:val="center"/>
                    <w:rPr>
                      <w:b/>
                      <w:kern w:val="0"/>
                      <w:szCs w:val="21"/>
                    </w:rPr>
                  </w:pPr>
                  <w:r>
                    <w:rPr>
                      <w:b/>
                      <w:kern w:val="0"/>
                      <w:szCs w:val="21"/>
                    </w:rPr>
                    <w:t>本工程</w:t>
                  </w:r>
                </w:p>
                <w:p>
                  <w:pPr>
                    <w:jc w:val="center"/>
                    <w:rPr>
                      <w:b/>
                      <w:kern w:val="0"/>
                      <w:szCs w:val="21"/>
                    </w:rPr>
                  </w:pPr>
                  <w:r>
                    <w:rPr>
                      <w:b/>
                      <w:kern w:val="0"/>
                      <w:szCs w:val="21"/>
                    </w:rPr>
                    <w:t>排放量</w:t>
                  </w:r>
                </w:p>
              </w:tc>
              <w:tc>
                <w:tcPr>
                  <w:tcW w:w="1133" w:type="dxa"/>
                  <w:vMerge w:val="restart"/>
                  <w:tcMar>
                    <w:left w:w="28" w:type="dxa"/>
                    <w:right w:w="28" w:type="dxa"/>
                  </w:tcMar>
                  <w:vAlign w:val="center"/>
                </w:tcPr>
                <w:p>
                  <w:pPr>
                    <w:jc w:val="center"/>
                    <w:rPr>
                      <w:b/>
                      <w:color w:val="000000"/>
                      <w:kern w:val="0"/>
                      <w:szCs w:val="21"/>
                    </w:rPr>
                  </w:pPr>
                  <w:r>
                    <w:rPr>
                      <w:b/>
                      <w:color w:val="000000"/>
                      <w:kern w:val="0"/>
                      <w:szCs w:val="21"/>
                    </w:rPr>
                    <w:t>全厂排</w:t>
                  </w:r>
                </w:p>
                <w:p>
                  <w:pPr>
                    <w:jc w:val="center"/>
                    <w:rPr>
                      <w:b/>
                      <w:color w:val="000000"/>
                      <w:kern w:val="0"/>
                      <w:szCs w:val="21"/>
                    </w:rPr>
                  </w:pPr>
                  <w:r>
                    <w:rPr>
                      <w:b/>
                      <w:color w:val="000000"/>
                      <w:kern w:val="0"/>
                      <w:szCs w:val="21"/>
                    </w:rPr>
                    <w:t>放总量</w:t>
                  </w:r>
                </w:p>
              </w:tc>
              <w:tc>
                <w:tcPr>
                  <w:tcW w:w="995" w:type="dxa"/>
                  <w:vMerge w:val="restart"/>
                  <w:tcMar>
                    <w:left w:w="28" w:type="dxa"/>
                    <w:right w:w="28" w:type="dxa"/>
                  </w:tcMar>
                  <w:vAlign w:val="center"/>
                </w:tcPr>
                <w:p>
                  <w:pPr>
                    <w:jc w:val="center"/>
                    <w:rPr>
                      <w:b/>
                      <w:color w:val="000000"/>
                      <w:kern w:val="0"/>
                      <w:szCs w:val="21"/>
                    </w:rPr>
                  </w:pPr>
                  <w:r>
                    <w:rPr>
                      <w:rFonts w:hint="eastAsia"/>
                      <w:b/>
                      <w:color w:val="000000"/>
                      <w:kern w:val="0"/>
                      <w:szCs w:val="21"/>
                    </w:rPr>
                    <w:t>排放</w:t>
                  </w:r>
                </w:p>
                <w:p>
                  <w:pPr>
                    <w:jc w:val="center"/>
                    <w:rPr>
                      <w:b/>
                      <w:color w:val="000000"/>
                      <w:kern w:val="0"/>
                      <w:szCs w:val="21"/>
                    </w:rPr>
                  </w:pPr>
                  <w:r>
                    <w:rPr>
                      <w:b/>
                      <w:color w:val="000000"/>
                      <w:kern w:val="0"/>
                      <w:szCs w:val="21"/>
                    </w:rPr>
                    <w:t>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34" w:type="dxa"/>
                  <w:gridSpan w:val="2"/>
                  <w:vMerge w:val="continue"/>
                  <w:tcMar>
                    <w:left w:w="28" w:type="dxa"/>
                    <w:right w:w="28" w:type="dxa"/>
                  </w:tcMar>
                  <w:vAlign w:val="center"/>
                </w:tcPr>
                <w:p>
                  <w:pPr>
                    <w:widowControl/>
                    <w:jc w:val="center"/>
                    <w:rPr>
                      <w:b/>
                      <w:kern w:val="0"/>
                      <w:szCs w:val="21"/>
                    </w:rPr>
                  </w:pPr>
                </w:p>
              </w:tc>
              <w:tc>
                <w:tcPr>
                  <w:tcW w:w="1295" w:type="dxa"/>
                  <w:tcMar>
                    <w:left w:w="28" w:type="dxa"/>
                    <w:right w:w="28" w:type="dxa"/>
                  </w:tcMar>
                  <w:vAlign w:val="center"/>
                </w:tcPr>
                <w:p>
                  <w:pPr>
                    <w:widowControl/>
                    <w:jc w:val="center"/>
                    <w:rPr>
                      <w:b/>
                      <w:kern w:val="0"/>
                      <w:szCs w:val="21"/>
                    </w:rPr>
                  </w:pPr>
                  <w:r>
                    <w:rPr>
                      <w:rFonts w:hint="eastAsia"/>
                      <w:b/>
                      <w:kern w:val="0"/>
                      <w:szCs w:val="21"/>
                    </w:rPr>
                    <w:t>环评批复</w:t>
                  </w:r>
                  <w:r>
                    <w:rPr>
                      <w:b/>
                      <w:kern w:val="0"/>
                      <w:szCs w:val="21"/>
                    </w:rPr>
                    <w:t>量</w:t>
                  </w:r>
                </w:p>
              </w:tc>
              <w:tc>
                <w:tcPr>
                  <w:tcW w:w="1284" w:type="dxa"/>
                  <w:tcMar>
                    <w:left w:w="28" w:type="dxa"/>
                    <w:right w:w="28" w:type="dxa"/>
                  </w:tcMar>
                  <w:vAlign w:val="center"/>
                </w:tcPr>
                <w:p>
                  <w:pPr>
                    <w:widowControl/>
                    <w:jc w:val="center"/>
                    <w:rPr>
                      <w:b/>
                      <w:kern w:val="0"/>
                      <w:szCs w:val="21"/>
                    </w:rPr>
                  </w:pPr>
                  <w:r>
                    <w:rPr>
                      <w:b/>
                      <w:kern w:val="0"/>
                      <w:szCs w:val="21"/>
                    </w:rPr>
                    <w:t>实际排放量</w:t>
                  </w:r>
                </w:p>
              </w:tc>
              <w:tc>
                <w:tcPr>
                  <w:tcW w:w="1133" w:type="dxa"/>
                  <w:vMerge w:val="continue"/>
                  <w:tcMar>
                    <w:left w:w="28" w:type="dxa"/>
                    <w:right w:w="28" w:type="dxa"/>
                  </w:tcMar>
                  <w:vAlign w:val="center"/>
                </w:tcPr>
                <w:p>
                  <w:pPr>
                    <w:widowControl/>
                    <w:jc w:val="center"/>
                    <w:rPr>
                      <w:b/>
                      <w:kern w:val="0"/>
                      <w:szCs w:val="21"/>
                    </w:rPr>
                  </w:pPr>
                </w:p>
              </w:tc>
              <w:tc>
                <w:tcPr>
                  <w:tcW w:w="1133" w:type="dxa"/>
                  <w:vMerge w:val="continue"/>
                  <w:tcMar>
                    <w:left w:w="28" w:type="dxa"/>
                    <w:right w:w="28" w:type="dxa"/>
                  </w:tcMar>
                  <w:vAlign w:val="center"/>
                </w:tcPr>
                <w:p>
                  <w:pPr>
                    <w:widowControl/>
                    <w:jc w:val="center"/>
                    <w:rPr>
                      <w:b/>
                      <w:color w:val="FF0000"/>
                      <w:kern w:val="0"/>
                      <w:szCs w:val="21"/>
                    </w:rPr>
                  </w:pPr>
                </w:p>
              </w:tc>
              <w:tc>
                <w:tcPr>
                  <w:tcW w:w="995" w:type="dxa"/>
                  <w:vMerge w:val="continue"/>
                  <w:tcMar>
                    <w:left w:w="28" w:type="dxa"/>
                    <w:right w:w="28" w:type="dxa"/>
                  </w:tcMar>
                  <w:vAlign w:val="center"/>
                </w:tcPr>
                <w:p>
                  <w:pPr>
                    <w:widowControl/>
                    <w:jc w:val="center"/>
                    <w:rPr>
                      <w:b/>
                      <w:color w:val="FF0000"/>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restart"/>
                  <w:tcMar>
                    <w:left w:w="28" w:type="dxa"/>
                    <w:right w:w="28" w:type="dxa"/>
                  </w:tcMar>
                  <w:vAlign w:val="center"/>
                </w:tcPr>
                <w:p>
                  <w:pPr>
                    <w:jc w:val="center"/>
                    <w:rPr>
                      <w:kern w:val="0"/>
                      <w:szCs w:val="21"/>
                    </w:rPr>
                  </w:pPr>
                  <w:r>
                    <w:rPr>
                      <w:kern w:val="0"/>
                      <w:szCs w:val="21"/>
                    </w:rPr>
                    <w:t>废水</w:t>
                  </w:r>
                </w:p>
              </w:tc>
              <w:tc>
                <w:tcPr>
                  <w:tcW w:w="1424" w:type="dxa"/>
                  <w:tcMar>
                    <w:left w:w="28" w:type="dxa"/>
                    <w:right w:w="28" w:type="dxa"/>
                  </w:tcMar>
                  <w:vAlign w:val="center"/>
                </w:tcPr>
                <w:p>
                  <w:pPr>
                    <w:widowControl/>
                    <w:jc w:val="center"/>
                    <w:rPr>
                      <w:kern w:val="0"/>
                      <w:szCs w:val="21"/>
                    </w:rPr>
                  </w:pPr>
                  <w:r>
                    <w:rPr>
                      <w:kern w:val="0"/>
                      <w:szCs w:val="21"/>
                    </w:rPr>
                    <w:t>水量(万</w:t>
                  </w:r>
                  <w:r>
                    <w:rPr>
                      <w:rFonts w:hint="eastAsia"/>
                      <w:kern w:val="0"/>
                      <w:szCs w:val="21"/>
                    </w:rPr>
                    <w:t>t</w:t>
                  </w:r>
                  <w:r>
                    <w:rPr>
                      <w:kern w:val="0"/>
                      <w:szCs w:val="21"/>
                    </w:rPr>
                    <w:t>/a)</w:t>
                  </w:r>
                </w:p>
              </w:tc>
              <w:tc>
                <w:tcPr>
                  <w:tcW w:w="1295" w:type="dxa"/>
                  <w:tcMar>
                    <w:left w:w="28" w:type="dxa"/>
                    <w:right w:w="28" w:type="dxa"/>
                  </w:tcMar>
                  <w:vAlign w:val="center"/>
                </w:tcPr>
                <w:p>
                  <w:pPr>
                    <w:pStyle w:val="48"/>
                    <w:rPr>
                      <w:color w:val="auto"/>
                      <w:kern w:val="2"/>
                    </w:rPr>
                  </w:pPr>
                  <w:r>
                    <w:rPr>
                      <w:rFonts w:hint="eastAsia"/>
                      <w:color w:val="auto"/>
                      <w:kern w:val="2"/>
                    </w:rPr>
                    <w:t>0</w:t>
                  </w:r>
                  <w:r>
                    <w:rPr>
                      <w:color w:val="auto"/>
                      <w:kern w:val="2"/>
                    </w:rPr>
                    <w:t>.06048</w:t>
                  </w:r>
                </w:p>
              </w:tc>
              <w:tc>
                <w:tcPr>
                  <w:tcW w:w="1284" w:type="dxa"/>
                  <w:tcMar>
                    <w:left w:w="28" w:type="dxa"/>
                    <w:right w:w="28" w:type="dxa"/>
                  </w:tcMar>
                  <w:vAlign w:val="center"/>
                </w:tcPr>
                <w:p>
                  <w:pPr>
                    <w:pStyle w:val="48"/>
                    <w:rPr>
                      <w:color w:val="auto"/>
                      <w:kern w:val="2"/>
                    </w:rPr>
                  </w:pPr>
                  <w:r>
                    <w:rPr>
                      <w:rFonts w:hint="eastAsia"/>
                      <w:color w:val="auto"/>
                      <w:kern w:val="2"/>
                    </w:rPr>
                    <w:t>0</w:t>
                  </w:r>
                </w:p>
              </w:tc>
              <w:tc>
                <w:tcPr>
                  <w:tcW w:w="1133" w:type="dxa"/>
                  <w:tcMar>
                    <w:left w:w="28" w:type="dxa"/>
                    <w:right w:w="28" w:type="dxa"/>
                  </w:tcMar>
                  <w:vAlign w:val="center"/>
                </w:tcPr>
                <w:p>
                  <w:pPr>
                    <w:pStyle w:val="48"/>
                    <w:rPr>
                      <w:color w:val="auto"/>
                      <w:kern w:val="2"/>
                    </w:rPr>
                  </w:pPr>
                  <w:r>
                    <w:rPr>
                      <w:rFonts w:hint="eastAsia"/>
                      <w:color w:val="auto"/>
                      <w:kern w:val="2"/>
                    </w:rPr>
                    <w:t>0</w:t>
                  </w:r>
                  <w:r>
                    <w:rPr>
                      <w:color w:val="auto"/>
                      <w:kern w:val="2"/>
                    </w:rPr>
                    <w:t>.016</w:t>
                  </w:r>
                </w:p>
              </w:tc>
              <w:tc>
                <w:tcPr>
                  <w:tcW w:w="1133" w:type="dxa"/>
                  <w:tcMar>
                    <w:left w:w="28" w:type="dxa"/>
                    <w:right w:w="28" w:type="dxa"/>
                  </w:tcMar>
                  <w:vAlign w:val="center"/>
                </w:tcPr>
                <w:p>
                  <w:pPr>
                    <w:pStyle w:val="48"/>
                    <w:rPr>
                      <w:color w:val="auto"/>
                      <w:kern w:val="2"/>
                    </w:rPr>
                  </w:pPr>
                  <w:r>
                    <w:rPr>
                      <w:rFonts w:hint="eastAsia"/>
                      <w:color w:val="auto"/>
                      <w:kern w:val="2"/>
                    </w:rPr>
                    <w:t>0</w:t>
                  </w:r>
                  <w:r>
                    <w:rPr>
                      <w:color w:val="auto"/>
                      <w:kern w:val="2"/>
                    </w:rPr>
                    <w:t>.016</w:t>
                  </w:r>
                </w:p>
              </w:tc>
              <w:tc>
                <w:tcPr>
                  <w:tcW w:w="995" w:type="dxa"/>
                  <w:tcMar>
                    <w:left w:w="28" w:type="dxa"/>
                    <w:right w:w="28" w:type="dxa"/>
                  </w:tcMar>
                  <w:vAlign w:val="center"/>
                </w:tcPr>
                <w:p>
                  <w:pPr>
                    <w:pStyle w:val="48"/>
                    <w:rPr>
                      <w:color w:val="auto"/>
                      <w:kern w:val="2"/>
                    </w:rPr>
                  </w:pPr>
                  <w:r>
                    <w:rPr>
                      <w:color w:val="auto"/>
                      <w:kern w:val="2"/>
                    </w:rPr>
                    <w:t>+</w:t>
                  </w:r>
                  <w:r>
                    <w:rPr>
                      <w:rFonts w:hint="eastAsia"/>
                      <w:color w:val="auto"/>
                      <w:kern w:val="2"/>
                    </w:rPr>
                    <w:t>0</w:t>
                  </w:r>
                  <w:r>
                    <w:rPr>
                      <w:color w:val="auto"/>
                      <w:kern w:val="2"/>
                    </w:rPr>
                    <w:t>.016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continue"/>
                  <w:tcMar>
                    <w:left w:w="28" w:type="dxa"/>
                    <w:right w:w="28" w:type="dxa"/>
                  </w:tcMar>
                  <w:vAlign w:val="center"/>
                </w:tcPr>
                <w:p>
                  <w:pPr>
                    <w:widowControl/>
                    <w:jc w:val="center"/>
                    <w:rPr>
                      <w:kern w:val="0"/>
                      <w:szCs w:val="21"/>
                    </w:rPr>
                  </w:pPr>
                </w:p>
              </w:tc>
              <w:tc>
                <w:tcPr>
                  <w:tcW w:w="1424" w:type="dxa"/>
                  <w:tcMar>
                    <w:left w:w="28" w:type="dxa"/>
                    <w:right w:w="28" w:type="dxa"/>
                  </w:tcMar>
                  <w:vAlign w:val="center"/>
                </w:tcPr>
                <w:p>
                  <w:pPr>
                    <w:widowControl/>
                    <w:jc w:val="center"/>
                    <w:rPr>
                      <w:kern w:val="0"/>
                      <w:szCs w:val="21"/>
                    </w:rPr>
                  </w:pPr>
                  <w:r>
                    <w:rPr>
                      <w:kern w:val="0"/>
                      <w:szCs w:val="21"/>
                    </w:rPr>
                    <w:t>COD</w:t>
                  </w:r>
                </w:p>
              </w:tc>
              <w:tc>
                <w:tcPr>
                  <w:tcW w:w="1295" w:type="dxa"/>
                  <w:tcMar>
                    <w:left w:w="28" w:type="dxa"/>
                    <w:right w:w="28" w:type="dxa"/>
                  </w:tcMar>
                  <w:vAlign w:val="center"/>
                </w:tcPr>
                <w:p>
                  <w:pPr>
                    <w:widowControl/>
                    <w:jc w:val="center"/>
                    <w:rPr>
                      <w:kern w:val="0"/>
                      <w:szCs w:val="21"/>
                    </w:rPr>
                  </w:pPr>
                  <w:r>
                    <w:rPr>
                      <w:rFonts w:hint="eastAsia"/>
                      <w:color w:val="000000"/>
                      <w:szCs w:val="21"/>
                    </w:rPr>
                    <w:t>0</w:t>
                  </w:r>
                  <w:r>
                    <w:rPr>
                      <w:color w:val="000000"/>
                      <w:szCs w:val="21"/>
                    </w:rPr>
                    <w:t>.0242</w:t>
                  </w:r>
                </w:p>
              </w:tc>
              <w:tc>
                <w:tcPr>
                  <w:tcW w:w="1284" w:type="dxa"/>
                  <w:tcMar>
                    <w:left w:w="28" w:type="dxa"/>
                    <w:right w:w="28" w:type="dxa"/>
                  </w:tcMar>
                  <w:vAlign w:val="center"/>
                </w:tcPr>
                <w:p>
                  <w:pPr>
                    <w:widowControl/>
                    <w:jc w:val="center"/>
                    <w:rPr>
                      <w:kern w:val="0"/>
                      <w:szCs w:val="21"/>
                    </w:rPr>
                  </w:pPr>
                  <w:r>
                    <w:rPr>
                      <w:rFonts w:hint="eastAsia"/>
                    </w:rPr>
                    <w:t>0</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.0064</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.0064</w:t>
                  </w:r>
                </w:p>
              </w:tc>
              <w:tc>
                <w:tcPr>
                  <w:tcW w:w="995" w:type="dxa"/>
                  <w:tcMar>
                    <w:left w:w="28" w:type="dxa"/>
                    <w:right w:w="28" w:type="dxa"/>
                  </w:tcMar>
                  <w:vAlign w:val="center"/>
                </w:tcPr>
                <w:p>
                  <w:pPr>
                    <w:widowControl/>
                    <w:jc w:val="center"/>
                    <w:rPr>
                      <w:kern w:val="0"/>
                      <w:szCs w:val="21"/>
                    </w:rPr>
                  </w:pPr>
                  <w:r>
                    <w:rPr>
                      <w:szCs w:val="21"/>
                    </w:rPr>
                    <w:t>+</w:t>
                  </w:r>
                  <w:r>
                    <w:rPr>
                      <w:rFonts w:hint="eastAsia"/>
                      <w:szCs w:val="21"/>
                    </w:rPr>
                    <w:t>0</w:t>
                  </w:r>
                  <w:r>
                    <w:rPr>
                      <w:szCs w:val="21"/>
                    </w:rPr>
                    <w:t>.0064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continue"/>
                  <w:tcMar>
                    <w:left w:w="28" w:type="dxa"/>
                    <w:right w:w="28" w:type="dxa"/>
                  </w:tcMar>
                  <w:vAlign w:val="center"/>
                </w:tcPr>
                <w:p>
                  <w:pPr>
                    <w:widowControl/>
                    <w:jc w:val="center"/>
                    <w:rPr>
                      <w:kern w:val="0"/>
                      <w:szCs w:val="21"/>
                    </w:rPr>
                  </w:pPr>
                </w:p>
              </w:tc>
              <w:tc>
                <w:tcPr>
                  <w:tcW w:w="1424" w:type="dxa"/>
                  <w:tcMar>
                    <w:left w:w="28" w:type="dxa"/>
                    <w:right w:w="28" w:type="dxa"/>
                  </w:tcMar>
                  <w:vAlign w:val="center"/>
                </w:tcPr>
                <w:p>
                  <w:pPr>
                    <w:widowControl/>
                    <w:jc w:val="center"/>
                    <w:rPr>
                      <w:kern w:val="0"/>
                      <w:szCs w:val="21"/>
                    </w:rPr>
                  </w:pPr>
                  <w:r>
                    <w:rPr>
                      <w:kern w:val="0"/>
                      <w:szCs w:val="21"/>
                    </w:rPr>
                    <w:t>NH</w:t>
                  </w:r>
                  <w:r>
                    <w:rPr>
                      <w:kern w:val="0"/>
                      <w:szCs w:val="21"/>
                      <w:vertAlign w:val="subscript"/>
                    </w:rPr>
                    <w:t>3</w:t>
                  </w:r>
                  <w:r>
                    <w:rPr>
                      <w:kern w:val="0"/>
                      <w:szCs w:val="21"/>
                    </w:rPr>
                    <w:t>-N</w:t>
                  </w:r>
                </w:p>
              </w:tc>
              <w:tc>
                <w:tcPr>
                  <w:tcW w:w="1295" w:type="dxa"/>
                  <w:tcMar>
                    <w:left w:w="28" w:type="dxa"/>
                    <w:right w:w="28" w:type="dxa"/>
                  </w:tcMar>
                  <w:vAlign w:val="center"/>
                </w:tcPr>
                <w:p>
                  <w:pPr>
                    <w:widowControl/>
                    <w:jc w:val="center"/>
                    <w:rPr>
                      <w:kern w:val="0"/>
                      <w:szCs w:val="21"/>
                    </w:rPr>
                  </w:pPr>
                  <w:r>
                    <w:rPr>
                      <w:rFonts w:hint="eastAsia"/>
                      <w:color w:val="000000"/>
                      <w:szCs w:val="21"/>
                    </w:rPr>
                    <w:t>0</w:t>
                  </w:r>
                  <w:r>
                    <w:rPr>
                      <w:color w:val="000000"/>
                      <w:szCs w:val="21"/>
                    </w:rPr>
                    <w:t>.0012</w:t>
                  </w:r>
                </w:p>
              </w:tc>
              <w:tc>
                <w:tcPr>
                  <w:tcW w:w="1284" w:type="dxa"/>
                  <w:tcMar>
                    <w:left w:w="28" w:type="dxa"/>
                    <w:right w:w="28" w:type="dxa"/>
                  </w:tcMar>
                  <w:vAlign w:val="center"/>
                </w:tcPr>
                <w:p>
                  <w:pPr>
                    <w:widowControl/>
                    <w:jc w:val="center"/>
                    <w:rPr>
                      <w:kern w:val="0"/>
                      <w:szCs w:val="21"/>
                    </w:rPr>
                  </w:pPr>
                  <w:r>
                    <w:rPr>
                      <w:rFonts w:hint="eastAsia"/>
                    </w:rPr>
                    <w:t>0</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.0003</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.0003</w:t>
                  </w:r>
                </w:p>
              </w:tc>
              <w:tc>
                <w:tcPr>
                  <w:tcW w:w="995" w:type="dxa"/>
                  <w:tcMar>
                    <w:left w:w="28" w:type="dxa"/>
                    <w:right w:w="28" w:type="dxa"/>
                  </w:tcMar>
                  <w:vAlign w:val="center"/>
                </w:tcPr>
                <w:p>
                  <w:pPr>
                    <w:widowControl/>
                    <w:jc w:val="center"/>
                    <w:rPr>
                      <w:kern w:val="0"/>
                      <w:szCs w:val="21"/>
                    </w:rPr>
                  </w:pPr>
                  <w:r>
                    <w:rPr>
                      <w:szCs w:val="21"/>
                    </w:rPr>
                    <w:t>+</w:t>
                  </w:r>
                  <w:r>
                    <w:rPr>
                      <w:rFonts w:hint="eastAsia"/>
                      <w:szCs w:val="21"/>
                    </w:rPr>
                    <w:t>0</w:t>
                  </w:r>
                  <w:r>
                    <w:rPr>
                      <w:szCs w:val="21"/>
                    </w:rPr>
                    <w:t>.0003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continue"/>
                  <w:tcMar>
                    <w:left w:w="28" w:type="dxa"/>
                    <w:right w:w="28" w:type="dxa"/>
                  </w:tcMar>
                  <w:vAlign w:val="center"/>
                </w:tcPr>
                <w:p>
                  <w:pPr>
                    <w:widowControl/>
                    <w:jc w:val="center"/>
                    <w:rPr>
                      <w:kern w:val="0"/>
                      <w:szCs w:val="21"/>
                    </w:rPr>
                  </w:pPr>
                </w:p>
              </w:tc>
              <w:tc>
                <w:tcPr>
                  <w:tcW w:w="1424" w:type="dxa"/>
                  <w:tcMar>
                    <w:left w:w="28" w:type="dxa"/>
                    <w:right w:w="28" w:type="dxa"/>
                  </w:tcMar>
                  <w:vAlign w:val="center"/>
                </w:tcPr>
                <w:p>
                  <w:pPr>
                    <w:widowControl/>
                    <w:jc w:val="center"/>
                    <w:rPr>
                      <w:kern w:val="0"/>
                      <w:szCs w:val="21"/>
                    </w:rPr>
                  </w:pPr>
                  <w:r>
                    <w:rPr>
                      <w:kern w:val="0"/>
                      <w:szCs w:val="21"/>
                    </w:rPr>
                    <w:t>TP</w:t>
                  </w:r>
                </w:p>
              </w:tc>
              <w:tc>
                <w:tcPr>
                  <w:tcW w:w="1295" w:type="dxa"/>
                  <w:tcMar>
                    <w:left w:w="28" w:type="dxa"/>
                    <w:right w:w="28" w:type="dxa"/>
                  </w:tcMar>
                  <w:vAlign w:val="center"/>
                </w:tcPr>
                <w:p>
                  <w:pPr>
                    <w:widowControl/>
                    <w:jc w:val="center"/>
                    <w:rPr>
                      <w:bCs/>
                      <w:kern w:val="0"/>
                      <w:szCs w:val="21"/>
                    </w:rPr>
                  </w:pPr>
                  <w:r>
                    <w:rPr>
                      <w:rFonts w:hint="eastAsia"/>
                      <w:color w:val="000000"/>
                      <w:szCs w:val="21"/>
                    </w:rPr>
                    <w:t>0</w:t>
                  </w:r>
                  <w:r>
                    <w:rPr>
                      <w:color w:val="000000"/>
                      <w:szCs w:val="21"/>
                    </w:rPr>
                    <w:t>.0002</w:t>
                  </w:r>
                </w:p>
              </w:tc>
              <w:tc>
                <w:tcPr>
                  <w:tcW w:w="1284" w:type="dxa"/>
                  <w:tcMar>
                    <w:left w:w="28" w:type="dxa"/>
                    <w:right w:w="28" w:type="dxa"/>
                  </w:tcMar>
                  <w:vAlign w:val="center"/>
                </w:tcPr>
                <w:p>
                  <w:pPr>
                    <w:widowControl/>
                    <w:jc w:val="center"/>
                    <w:rPr>
                      <w:bCs/>
                      <w:kern w:val="0"/>
                      <w:szCs w:val="21"/>
                    </w:rPr>
                  </w:pPr>
                  <w:r>
                    <w:rPr>
                      <w:rFonts w:hint="eastAsia"/>
                    </w:rPr>
                    <w:t>0</w:t>
                  </w:r>
                </w:p>
              </w:tc>
              <w:tc>
                <w:tcPr>
                  <w:tcW w:w="1133" w:type="dxa"/>
                  <w:tcMar>
                    <w:left w:w="28" w:type="dxa"/>
                    <w:right w:w="28" w:type="dxa"/>
                  </w:tcMar>
                  <w:vAlign w:val="center"/>
                </w:tcPr>
                <w:p>
                  <w:pPr>
                    <w:widowControl/>
                    <w:jc w:val="center"/>
                    <w:rPr>
                      <w:bCs/>
                      <w:kern w:val="0"/>
                      <w:szCs w:val="21"/>
                    </w:rPr>
                  </w:pPr>
                  <w:r>
                    <w:rPr>
                      <w:rFonts w:hint="eastAsia"/>
                      <w:szCs w:val="21"/>
                    </w:rPr>
                    <w:t>0</w:t>
                  </w:r>
                  <w:r>
                    <w:rPr>
                      <w:szCs w:val="21"/>
                    </w:rPr>
                    <w:t>.0001</w:t>
                  </w:r>
                </w:p>
              </w:tc>
              <w:tc>
                <w:tcPr>
                  <w:tcW w:w="1133" w:type="dxa"/>
                  <w:tcMar>
                    <w:left w:w="28" w:type="dxa"/>
                    <w:right w:w="28" w:type="dxa"/>
                  </w:tcMar>
                  <w:vAlign w:val="center"/>
                </w:tcPr>
                <w:p>
                  <w:pPr>
                    <w:widowControl/>
                    <w:jc w:val="center"/>
                    <w:rPr>
                      <w:bCs/>
                      <w:kern w:val="0"/>
                      <w:szCs w:val="21"/>
                    </w:rPr>
                  </w:pPr>
                  <w:r>
                    <w:rPr>
                      <w:rFonts w:hint="eastAsia"/>
                      <w:szCs w:val="21"/>
                    </w:rPr>
                    <w:t>0</w:t>
                  </w:r>
                  <w:r>
                    <w:rPr>
                      <w:szCs w:val="21"/>
                    </w:rPr>
                    <w:t>.0001</w:t>
                  </w:r>
                </w:p>
              </w:tc>
              <w:tc>
                <w:tcPr>
                  <w:tcW w:w="995" w:type="dxa"/>
                  <w:tcMar>
                    <w:left w:w="28" w:type="dxa"/>
                    <w:right w:w="28" w:type="dxa"/>
                  </w:tcMar>
                  <w:vAlign w:val="center"/>
                </w:tcPr>
                <w:p>
                  <w:pPr>
                    <w:widowControl/>
                    <w:jc w:val="center"/>
                    <w:rPr>
                      <w:bCs/>
                      <w:kern w:val="0"/>
                      <w:szCs w:val="21"/>
                    </w:rPr>
                  </w:pPr>
                  <w:r>
                    <w:rPr>
                      <w:szCs w:val="21"/>
                    </w:rPr>
                    <w:t>+</w:t>
                  </w:r>
                  <w:r>
                    <w:rPr>
                      <w:rFonts w:hint="eastAsia"/>
                      <w:szCs w:val="21"/>
                    </w:rPr>
                    <w:t>0</w:t>
                  </w:r>
                  <w:r>
                    <w:rPr>
                      <w:szCs w:val="21"/>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continue"/>
                  <w:tcMar>
                    <w:left w:w="28" w:type="dxa"/>
                    <w:right w:w="28" w:type="dxa"/>
                  </w:tcMar>
                  <w:vAlign w:val="center"/>
                </w:tcPr>
                <w:p>
                  <w:pPr>
                    <w:widowControl/>
                    <w:jc w:val="center"/>
                    <w:rPr>
                      <w:kern w:val="0"/>
                      <w:szCs w:val="21"/>
                    </w:rPr>
                  </w:pPr>
                </w:p>
              </w:tc>
              <w:tc>
                <w:tcPr>
                  <w:tcW w:w="1424" w:type="dxa"/>
                  <w:tcMar>
                    <w:left w:w="28" w:type="dxa"/>
                    <w:right w:w="28" w:type="dxa"/>
                  </w:tcMar>
                  <w:vAlign w:val="center"/>
                </w:tcPr>
                <w:p>
                  <w:pPr>
                    <w:widowControl/>
                    <w:jc w:val="center"/>
                    <w:rPr>
                      <w:kern w:val="0"/>
                      <w:szCs w:val="21"/>
                    </w:rPr>
                  </w:pPr>
                  <w:r>
                    <w:rPr>
                      <w:kern w:val="0"/>
                      <w:szCs w:val="21"/>
                    </w:rPr>
                    <w:t>TN</w:t>
                  </w:r>
                </w:p>
              </w:tc>
              <w:tc>
                <w:tcPr>
                  <w:tcW w:w="1295" w:type="dxa"/>
                  <w:tcMar>
                    <w:left w:w="28" w:type="dxa"/>
                    <w:right w:w="28" w:type="dxa"/>
                  </w:tcMar>
                  <w:vAlign w:val="center"/>
                </w:tcPr>
                <w:p>
                  <w:pPr>
                    <w:widowControl/>
                    <w:jc w:val="center"/>
                    <w:rPr>
                      <w:kern w:val="0"/>
                      <w:szCs w:val="21"/>
                    </w:rPr>
                  </w:pPr>
                  <w:r>
                    <w:rPr>
                      <w:rFonts w:hint="eastAsia"/>
                      <w:color w:val="000000"/>
                      <w:szCs w:val="21"/>
                    </w:rPr>
                    <w:t>0</w:t>
                  </w:r>
                  <w:r>
                    <w:rPr>
                      <w:color w:val="000000"/>
                      <w:szCs w:val="21"/>
                    </w:rPr>
                    <w:t>.0091</w:t>
                  </w:r>
                </w:p>
              </w:tc>
              <w:tc>
                <w:tcPr>
                  <w:tcW w:w="1284" w:type="dxa"/>
                  <w:tcMar>
                    <w:left w:w="28" w:type="dxa"/>
                    <w:right w:w="28" w:type="dxa"/>
                  </w:tcMar>
                  <w:vAlign w:val="center"/>
                </w:tcPr>
                <w:p>
                  <w:pPr>
                    <w:widowControl/>
                    <w:jc w:val="center"/>
                    <w:rPr>
                      <w:kern w:val="0"/>
                      <w:szCs w:val="21"/>
                    </w:rPr>
                  </w:pPr>
                  <w:r>
                    <w:rPr>
                      <w:rFonts w:hint="eastAsia"/>
                    </w:rPr>
                    <w:t>0</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.0024</w:t>
                  </w:r>
                </w:p>
              </w:tc>
              <w:tc>
                <w:tcPr>
                  <w:tcW w:w="1133" w:type="dxa"/>
                  <w:tcMar>
                    <w:left w:w="28" w:type="dxa"/>
                    <w:right w:w="28" w:type="dxa"/>
                  </w:tcMar>
                  <w:vAlign w:val="center"/>
                </w:tcPr>
                <w:p>
                  <w:pPr>
                    <w:widowControl/>
                    <w:jc w:val="center"/>
                    <w:rPr>
                      <w:kern w:val="0"/>
                      <w:szCs w:val="21"/>
                    </w:rPr>
                  </w:pPr>
                  <w:r>
                    <w:rPr>
                      <w:rFonts w:hint="eastAsia"/>
                      <w:szCs w:val="21"/>
                    </w:rPr>
                    <w:t>0</w:t>
                  </w:r>
                  <w:r>
                    <w:rPr>
                      <w:szCs w:val="21"/>
                    </w:rPr>
                    <w:t>.0024</w:t>
                  </w:r>
                </w:p>
              </w:tc>
              <w:tc>
                <w:tcPr>
                  <w:tcW w:w="995" w:type="dxa"/>
                  <w:tcMar>
                    <w:left w:w="28" w:type="dxa"/>
                    <w:right w:w="28" w:type="dxa"/>
                  </w:tcMar>
                  <w:vAlign w:val="center"/>
                </w:tcPr>
                <w:p>
                  <w:pPr>
                    <w:widowControl/>
                    <w:jc w:val="center"/>
                    <w:rPr>
                      <w:kern w:val="0"/>
                      <w:szCs w:val="21"/>
                    </w:rPr>
                  </w:pPr>
                  <w:r>
                    <w:rPr>
                      <w:szCs w:val="21"/>
                    </w:rPr>
                    <w:t>+</w:t>
                  </w:r>
                  <w:r>
                    <w:rPr>
                      <w:rFonts w:hint="eastAsia"/>
                      <w:szCs w:val="21"/>
                    </w:rPr>
                    <w:t>0</w:t>
                  </w:r>
                  <w:r>
                    <w:rPr>
                      <w:szCs w:val="21"/>
                    </w:rPr>
                    <w:t>.0024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restart"/>
                  <w:tcMar>
                    <w:left w:w="28" w:type="dxa"/>
                    <w:right w:w="28" w:type="dxa"/>
                  </w:tcMar>
                  <w:vAlign w:val="center"/>
                </w:tcPr>
                <w:p>
                  <w:pPr>
                    <w:widowControl/>
                    <w:jc w:val="center"/>
                    <w:rPr>
                      <w:kern w:val="0"/>
                      <w:szCs w:val="21"/>
                    </w:rPr>
                  </w:pPr>
                  <w:r>
                    <w:rPr>
                      <w:kern w:val="0"/>
                      <w:szCs w:val="21"/>
                    </w:rPr>
                    <w:t>废气</w:t>
                  </w:r>
                </w:p>
              </w:tc>
              <w:tc>
                <w:tcPr>
                  <w:tcW w:w="1424" w:type="dxa"/>
                  <w:tcMar>
                    <w:left w:w="28" w:type="dxa"/>
                    <w:right w:w="28" w:type="dxa"/>
                  </w:tcMar>
                  <w:vAlign w:val="center"/>
                </w:tcPr>
                <w:p>
                  <w:pPr>
                    <w:jc w:val="center"/>
                    <w:rPr>
                      <w:szCs w:val="21"/>
                      <w:lang w:val="pt-BR"/>
                    </w:rPr>
                  </w:pPr>
                  <w:r>
                    <w:rPr>
                      <w:rFonts w:hint="eastAsia"/>
                      <w:szCs w:val="21"/>
                      <w:lang w:val="pt-BR"/>
                    </w:rPr>
                    <w:t>颗粒物</w:t>
                  </w:r>
                </w:p>
              </w:tc>
              <w:tc>
                <w:tcPr>
                  <w:tcW w:w="1295" w:type="dxa"/>
                  <w:tcMar>
                    <w:left w:w="28" w:type="dxa"/>
                    <w:right w:w="28" w:type="dxa"/>
                  </w:tcMar>
                  <w:vAlign w:val="center"/>
                </w:tcPr>
                <w:p>
                  <w:pPr>
                    <w:pStyle w:val="48"/>
                    <w:rPr>
                      <w:color w:val="auto"/>
                      <w:kern w:val="2"/>
                    </w:rPr>
                  </w:pPr>
                  <w:r>
                    <w:rPr>
                      <w:rFonts w:hint="eastAsia"/>
                    </w:rPr>
                    <w:t>0</w:t>
                  </w:r>
                  <w:r>
                    <w:t>.1214</w:t>
                  </w:r>
                </w:p>
              </w:tc>
              <w:tc>
                <w:tcPr>
                  <w:tcW w:w="1284" w:type="dxa"/>
                  <w:tcMar>
                    <w:left w:w="28" w:type="dxa"/>
                    <w:right w:w="28" w:type="dxa"/>
                  </w:tcMar>
                  <w:vAlign w:val="center"/>
                </w:tcPr>
                <w:p>
                  <w:pPr>
                    <w:pStyle w:val="48"/>
                    <w:rPr>
                      <w:color w:val="auto"/>
                      <w:kern w:val="2"/>
                    </w:rPr>
                  </w:pPr>
                  <w:r>
                    <w:rPr>
                      <w:rFonts w:hint="eastAsia"/>
                      <w:color w:val="auto"/>
                      <w:kern w:val="2"/>
                    </w:rPr>
                    <w:t>0</w:t>
                  </w:r>
                </w:p>
              </w:tc>
              <w:tc>
                <w:tcPr>
                  <w:tcW w:w="1133" w:type="dxa"/>
                  <w:tcMar>
                    <w:left w:w="28" w:type="dxa"/>
                    <w:right w:w="28" w:type="dxa"/>
                  </w:tcMar>
                  <w:vAlign w:val="center"/>
                </w:tcPr>
                <w:p>
                  <w:pPr>
                    <w:jc w:val="center"/>
                    <w:rPr>
                      <w:szCs w:val="21"/>
                    </w:rPr>
                  </w:pPr>
                  <w:r>
                    <w:rPr>
                      <w:rFonts w:hint="eastAsia"/>
                      <w:szCs w:val="21"/>
                    </w:rPr>
                    <w:t>0</w:t>
                  </w:r>
                </w:p>
              </w:tc>
              <w:tc>
                <w:tcPr>
                  <w:tcW w:w="1133" w:type="dxa"/>
                  <w:tcMar>
                    <w:left w:w="28" w:type="dxa"/>
                    <w:right w:w="28" w:type="dxa"/>
                  </w:tcMar>
                  <w:vAlign w:val="center"/>
                </w:tcPr>
                <w:p>
                  <w:pPr>
                    <w:jc w:val="center"/>
                    <w:rPr>
                      <w:szCs w:val="21"/>
                    </w:rPr>
                  </w:pPr>
                  <w:r>
                    <w:rPr>
                      <w:rFonts w:hint="eastAsia"/>
                      <w:szCs w:val="21"/>
                    </w:rPr>
                    <w:t>0</w:t>
                  </w:r>
                </w:p>
              </w:tc>
              <w:tc>
                <w:tcPr>
                  <w:tcW w:w="995" w:type="dxa"/>
                  <w:tcMar>
                    <w:left w:w="28" w:type="dxa"/>
                    <w:right w:w="28" w:type="dxa"/>
                  </w:tcMar>
                  <w:vAlign w:val="center"/>
                </w:tcPr>
                <w:p>
                  <w:pPr>
                    <w:jc w:val="center"/>
                    <w:rPr>
                      <w:szCs w:val="21"/>
                    </w:rPr>
                  </w:pPr>
                  <w:r>
                    <w:rPr>
                      <w:rFonts w:hint="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10" w:type="dxa"/>
                  <w:vMerge w:val="continue"/>
                  <w:tcMar>
                    <w:left w:w="28" w:type="dxa"/>
                    <w:right w:w="28" w:type="dxa"/>
                  </w:tcMar>
                  <w:vAlign w:val="center"/>
                </w:tcPr>
                <w:p>
                  <w:pPr>
                    <w:widowControl/>
                    <w:jc w:val="center"/>
                    <w:rPr>
                      <w:kern w:val="0"/>
                      <w:szCs w:val="21"/>
                    </w:rPr>
                  </w:pPr>
                </w:p>
              </w:tc>
              <w:tc>
                <w:tcPr>
                  <w:tcW w:w="1424" w:type="dxa"/>
                  <w:shd w:val="clear" w:color="auto" w:fill="auto"/>
                  <w:tcMar>
                    <w:left w:w="28" w:type="dxa"/>
                    <w:right w:w="28" w:type="dxa"/>
                  </w:tcMar>
                  <w:vAlign w:val="center"/>
                </w:tcPr>
                <w:p>
                  <w:pPr>
                    <w:jc w:val="center"/>
                    <w:rPr>
                      <w:szCs w:val="21"/>
                      <w:lang w:val="pt-BR"/>
                    </w:rPr>
                  </w:pPr>
                  <w:r>
                    <w:rPr>
                      <w:rFonts w:hint="eastAsia"/>
                      <w:szCs w:val="21"/>
                      <w:lang w:val="pt-BR"/>
                    </w:rPr>
                    <w:t>非甲烷总烃</w:t>
                  </w:r>
                </w:p>
              </w:tc>
              <w:tc>
                <w:tcPr>
                  <w:tcW w:w="1295" w:type="dxa"/>
                  <w:shd w:val="clear" w:color="auto" w:fill="auto"/>
                  <w:tcMar>
                    <w:left w:w="28" w:type="dxa"/>
                    <w:right w:w="28" w:type="dxa"/>
                  </w:tcMar>
                  <w:vAlign w:val="center"/>
                </w:tcPr>
                <w:p>
                  <w:pPr>
                    <w:pStyle w:val="48"/>
                    <w:rPr>
                      <w:color w:val="auto"/>
                      <w:kern w:val="2"/>
                    </w:rPr>
                  </w:pPr>
                  <w:r>
                    <w:rPr>
                      <w:rFonts w:hint="eastAsia"/>
                    </w:rPr>
                    <w:t>0</w:t>
                  </w:r>
                  <w:r>
                    <w:t>.1961</w:t>
                  </w:r>
                </w:p>
              </w:tc>
              <w:tc>
                <w:tcPr>
                  <w:tcW w:w="1284" w:type="dxa"/>
                  <w:shd w:val="clear" w:color="auto" w:fill="auto"/>
                  <w:tcMar>
                    <w:left w:w="28" w:type="dxa"/>
                    <w:right w:w="28" w:type="dxa"/>
                  </w:tcMar>
                  <w:vAlign w:val="center"/>
                </w:tcPr>
                <w:p>
                  <w:pPr>
                    <w:pStyle w:val="48"/>
                    <w:rPr>
                      <w:color w:val="auto"/>
                      <w:kern w:val="2"/>
                    </w:rPr>
                  </w:pPr>
                  <w:r>
                    <w:rPr>
                      <w:rFonts w:hint="eastAsia"/>
                      <w:color w:val="auto"/>
                      <w:kern w:val="2"/>
                    </w:rPr>
                    <w:t>0</w:t>
                  </w:r>
                </w:p>
              </w:tc>
              <w:tc>
                <w:tcPr>
                  <w:tcW w:w="1133" w:type="dxa"/>
                  <w:shd w:val="clear" w:color="auto" w:fill="auto"/>
                  <w:tcMar>
                    <w:left w:w="28" w:type="dxa"/>
                    <w:right w:w="28" w:type="dxa"/>
                  </w:tcMar>
                  <w:vAlign w:val="center"/>
                </w:tcPr>
                <w:p>
                  <w:pPr>
                    <w:jc w:val="center"/>
                    <w:rPr>
                      <w:szCs w:val="21"/>
                    </w:rPr>
                  </w:pPr>
                  <w:r>
                    <w:rPr>
                      <w:rFonts w:hint="eastAsia"/>
                      <w:color w:val="000000"/>
                      <w:szCs w:val="21"/>
                      <w:lang w:val="fr-FR"/>
                    </w:rPr>
                    <w:t>0</w:t>
                  </w:r>
                  <w:r>
                    <w:rPr>
                      <w:color w:val="000000"/>
                      <w:szCs w:val="21"/>
                      <w:lang w:val="fr-FR"/>
                    </w:rPr>
                    <w:t>.1309</w:t>
                  </w:r>
                </w:p>
              </w:tc>
              <w:tc>
                <w:tcPr>
                  <w:tcW w:w="1133" w:type="dxa"/>
                  <w:shd w:val="clear" w:color="auto" w:fill="auto"/>
                  <w:tcMar>
                    <w:left w:w="28" w:type="dxa"/>
                    <w:right w:w="28" w:type="dxa"/>
                  </w:tcMar>
                  <w:vAlign w:val="center"/>
                </w:tcPr>
                <w:p>
                  <w:pPr>
                    <w:jc w:val="center"/>
                    <w:rPr>
                      <w:szCs w:val="21"/>
                    </w:rPr>
                  </w:pPr>
                  <w:r>
                    <w:rPr>
                      <w:rFonts w:hint="eastAsia"/>
                      <w:color w:val="000000"/>
                      <w:szCs w:val="21"/>
                      <w:lang w:val="fr-FR"/>
                    </w:rPr>
                    <w:t>0</w:t>
                  </w:r>
                  <w:r>
                    <w:rPr>
                      <w:color w:val="000000"/>
                      <w:szCs w:val="21"/>
                      <w:lang w:val="fr-FR"/>
                    </w:rPr>
                    <w:t>.1309</w:t>
                  </w:r>
                </w:p>
              </w:tc>
              <w:tc>
                <w:tcPr>
                  <w:tcW w:w="995" w:type="dxa"/>
                  <w:shd w:val="clear" w:color="auto" w:fill="auto"/>
                  <w:tcMar>
                    <w:left w:w="28" w:type="dxa"/>
                    <w:right w:w="28" w:type="dxa"/>
                  </w:tcMar>
                  <w:vAlign w:val="center"/>
                </w:tcPr>
                <w:p>
                  <w:pPr>
                    <w:jc w:val="center"/>
                    <w:rPr>
                      <w:szCs w:val="21"/>
                    </w:rPr>
                  </w:pPr>
                  <w:r>
                    <w:rPr>
                      <w:color w:val="000000"/>
                      <w:szCs w:val="21"/>
                      <w:lang w:val="fr-FR"/>
                    </w:rPr>
                    <w:t>+</w:t>
                  </w:r>
                  <w:r>
                    <w:rPr>
                      <w:rFonts w:hint="eastAsia"/>
                      <w:color w:val="000000"/>
                      <w:szCs w:val="21"/>
                      <w:lang w:val="fr-FR"/>
                    </w:rPr>
                    <w:t>0</w:t>
                  </w:r>
                  <w:r>
                    <w:rPr>
                      <w:color w:val="000000"/>
                      <w:szCs w:val="21"/>
                      <w:lang w:val="fr-FR"/>
                    </w:rPr>
                    <w:t>.1309</w:t>
                  </w:r>
                </w:p>
              </w:tc>
            </w:tr>
          </w:tbl>
          <w:p>
            <w:pPr>
              <w:adjustRightInd w:val="0"/>
              <w:snapToGrid w:val="0"/>
              <w:spacing w:line="460" w:lineRule="exact"/>
              <w:ind w:firstLine="480" w:firstLineChars="200"/>
              <w:rPr>
                <w:color w:val="000000"/>
                <w:sz w:val="24"/>
              </w:rPr>
            </w:pPr>
            <w:r>
              <w:rPr>
                <w:color w:val="000000"/>
                <w:sz w:val="24"/>
              </w:rPr>
              <w:t>本项目属于</w:t>
            </w:r>
            <w:r>
              <w:rPr>
                <w:rFonts w:hint="eastAsia"/>
                <w:color w:val="000000"/>
                <w:sz w:val="24"/>
              </w:rPr>
              <w:t>扩建</w:t>
            </w:r>
            <w:r>
              <w:rPr>
                <w:color w:val="000000"/>
                <w:sz w:val="24"/>
              </w:rPr>
              <w:t>项目，本项目污染物排放量为COD</w:t>
            </w:r>
            <w:r>
              <w:rPr>
                <w:rFonts w:hint="eastAsia"/>
                <w:color w:val="000000"/>
                <w:sz w:val="24"/>
              </w:rPr>
              <w:t xml:space="preserve"> </w:t>
            </w:r>
            <w:r>
              <w:rPr>
                <w:color w:val="000000"/>
                <w:sz w:val="24"/>
              </w:rPr>
              <w:t>0.0064t/a、NH</w:t>
            </w:r>
            <w:r>
              <w:rPr>
                <w:color w:val="000000"/>
                <w:sz w:val="24"/>
                <w:vertAlign w:val="subscript"/>
              </w:rPr>
              <w:t>3</w:t>
            </w:r>
            <w:r>
              <w:rPr>
                <w:color w:val="000000"/>
                <w:sz w:val="24"/>
              </w:rPr>
              <w:t>-N</w:t>
            </w:r>
            <w:r>
              <w:rPr>
                <w:rFonts w:hint="eastAsia"/>
                <w:color w:val="000000"/>
                <w:sz w:val="24"/>
              </w:rPr>
              <w:t xml:space="preserve"> </w:t>
            </w:r>
            <w:r>
              <w:rPr>
                <w:color w:val="000000"/>
                <w:sz w:val="24"/>
              </w:rPr>
              <w:t>0.0003t/a</w:t>
            </w:r>
            <w:r>
              <w:rPr>
                <w:rFonts w:hint="eastAsia"/>
                <w:color w:val="000000"/>
                <w:sz w:val="24"/>
              </w:rPr>
              <w:t>、</w:t>
            </w:r>
            <w:r>
              <w:rPr>
                <w:color w:val="000000"/>
                <w:sz w:val="24"/>
              </w:rPr>
              <w:t>VOCs</w:t>
            </w:r>
            <w:r>
              <w:rPr>
                <w:rFonts w:hint="eastAsia"/>
                <w:color w:val="000000"/>
                <w:sz w:val="24"/>
              </w:rPr>
              <w:t xml:space="preserve"> </w:t>
            </w:r>
            <w:r>
              <w:rPr>
                <w:color w:val="000000"/>
                <w:sz w:val="24"/>
              </w:rPr>
              <w:t>0.1309</w:t>
            </w:r>
            <w:r>
              <w:rPr>
                <w:rFonts w:hint="eastAsia"/>
                <w:color w:val="000000"/>
                <w:sz w:val="24"/>
              </w:rPr>
              <w:t>t/a（有组织</w:t>
            </w:r>
            <w:r>
              <w:rPr>
                <w:color w:val="000000"/>
                <w:sz w:val="24"/>
              </w:rPr>
              <w:t>0.0855</w:t>
            </w:r>
            <w:r>
              <w:rPr>
                <w:rFonts w:hint="eastAsia"/>
                <w:color w:val="000000"/>
                <w:sz w:val="24"/>
              </w:rPr>
              <w:t>t/a、无组织</w:t>
            </w:r>
            <w:r>
              <w:rPr>
                <w:color w:val="000000"/>
                <w:sz w:val="24"/>
              </w:rPr>
              <w:t>0.0454</w:t>
            </w:r>
            <w:r>
              <w:rPr>
                <w:rFonts w:hint="eastAsia"/>
                <w:color w:val="000000"/>
                <w:sz w:val="24"/>
              </w:rPr>
              <w:t>t/a）</w:t>
            </w:r>
            <w:r>
              <w:rPr>
                <w:color w:val="000000"/>
                <w:sz w:val="24"/>
              </w:rPr>
              <w:t>，</w:t>
            </w:r>
            <w:r>
              <w:rPr>
                <w:rFonts w:hint="eastAsia"/>
                <w:color w:val="000000"/>
                <w:sz w:val="24"/>
              </w:rPr>
              <w:t>本项目建成后</w:t>
            </w:r>
            <w:r>
              <w:rPr>
                <w:color w:val="000000"/>
                <w:sz w:val="24"/>
              </w:rPr>
              <w:t>全厂新增污染物排放量为COD</w:t>
            </w:r>
            <w:r>
              <w:rPr>
                <w:rFonts w:hint="eastAsia"/>
                <w:color w:val="000000"/>
                <w:sz w:val="24"/>
              </w:rPr>
              <w:t xml:space="preserve"> </w:t>
            </w:r>
            <w:r>
              <w:rPr>
                <w:color w:val="000000"/>
                <w:sz w:val="24"/>
              </w:rPr>
              <w:t>0</w:t>
            </w:r>
            <w:r>
              <w:rPr>
                <w:rFonts w:hint="eastAsia"/>
                <w:color w:val="000000"/>
                <w:sz w:val="24"/>
              </w:rPr>
              <w:t>.0</w:t>
            </w:r>
            <w:r>
              <w:rPr>
                <w:color w:val="000000"/>
                <w:sz w:val="24"/>
              </w:rPr>
              <w:t>064t/a、NH</w:t>
            </w:r>
            <w:r>
              <w:rPr>
                <w:color w:val="000000"/>
                <w:sz w:val="24"/>
                <w:vertAlign w:val="subscript"/>
              </w:rPr>
              <w:t>3</w:t>
            </w:r>
            <w:r>
              <w:rPr>
                <w:color w:val="000000"/>
                <w:sz w:val="24"/>
              </w:rPr>
              <w:t>-N</w:t>
            </w:r>
            <w:r>
              <w:rPr>
                <w:rFonts w:hint="eastAsia"/>
                <w:color w:val="000000"/>
                <w:sz w:val="24"/>
              </w:rPr>
              <w:t xml:space="preserve"> </w:t>
            </w:r>
            <w:r>
              <w:rPr>
                <w:color w:val="000000"/>
                <w:sz w:val="24"/>
              </w:rPr>
              <w:t>0.0003t/a</w:t>
            </w:r>
            <w:r>
              <w:rPr>
                <w:rFonts w:hint="eastAsia"/>
                <w:color w:val="000000"/>
                <w:sz w:val="24"/>
              </w:rPr>
              <w:t>、</w:t>
            </w:r>
            <w:r>
              <w:rPr>
                <w:color w:val="000000"/>
                <w:sz w:val="24"/>
              </w:rPr>
              <w:t>VOCs</w:t>
            </w:r>
            <w:r>
              <w:rPr>
                <w:rFonts w:hint="eastAsia"/>
                <w:color w:val="000000"/>
                <w:sz w:val="24"/>
              </w:rPr>
              <w:t xml:space="preserve"> </w:t>
            </w:r>
            <w:r>
              <w:rPr>
                <w:color w:val="000000"/>
                <w:sz w:val="24"/>
              </w:rPr>
              <w:t>0.1309</w:t>
            </w:r>
            <w:r>
              <w:rPr>
                <w:rFonts w:hint="eastAsia"/>
                <w:color w:val="000000"/>
                <w:sz w:val="24"/>
              </w:rPr>
              <w:t>t/a（有组织</w:t>
            </w:r>
            <w:r>
              <w:rPr>
                <w:color w:val="000000"/>
                <w:sz w:val="24"/>
              </w:rPr>
              <w:t>0.0855</w:t>
            </w:r>
            <w:r>
              <w:rPr>
                <w:rFonts w:hint="eastAsia"/>
                <w:color w:val="000000"/>
                <w:sz w:val="24"/>
              </w:rPr>
              <w:t>t/a、无组织</w:t>
            </w:r>
            <w:r>
              <w:rPr>
                <w:color w:val="000000"/>
                <w:sz w:val="24"/>
              </w:rPr>
              <w:t>0.0454</w:t>
            </w:r>
            <w:r>
              <w:rPr>
                <w:rFonts w:hint="eastAsia"/>
                <w:color w:val="000000"/>
                <w:sz w:val="24"/>
              </w:rPr>
              <w:t>t/a）</w:t>
            </w:r>
            <w:r>
              <w:rPr>
                <w:color w:val="000000"/>
                <w:sz w:val="24"/>
              </w:rPr>
              <w:t>，需要区域内进行双倍替代。</w:t>
            </w:r>
          </w:p>
          <w:p>
            <w:pPr>
              <w:adjustRightInd w:val="0"/>
              <w:snapToGrid w:val="0"/>
              <w:spacing w:line="460" w:lineRule="exact"/>
              <w:ind w:firstLine="480" w:firstLineChars="200"/>
              <w:rPr>
                <w:color w:val="000000"/>
                <w:sz w:val="24"/>
              </w:rPr>
            </w:pPr>
            <w:r>
              <w:rPr>
                <w:rFonts w:hint="eastAsia"/>
                <w:color w:val="000000"/>
                <w:sz w:val="24"/>
              </w:rPr>
              <w:t>本项目重点污染物预支增量需要进行双倍替代。项目废水排放所需替代量为</w:t>
            </w:r>
            <w:r>
              <w:rPr>
                <w:color w:val="000000"/>
                <w:sz w:val="24"/>
              </w:rPr>
              <w:t>COD</w:t>
            </w:r>
            <w:r>
              <w:rPr>
                <w:rFonts w:hint="eastAsia"/>
                <w:color w:val="000000"/>
                <w:sz w:val="24"/>
              </w:rPr>
              <w:t xml:space="preserve"> </w:t>
            </w:r>
            <w:r>
              <w:rPr>
                <w:color w:val="000000"/>
                <w:sz w:val="24"/>
              </w:rPr>
              <w:t>0</w:t>
            </w:r>
            <w:r>
              <w:rPr>
                <w:rFonts w:hint="eastAsia"/>
                <w:color w:val="000000"/>
                <w:sz w:val="24"/>
              </w:rPr>
              <w:t>.0</w:t>
            </w:r>
            <w:r>
              <w:rPr>
                <w:color w:val="000000"/>
                <w:sz w:val="24"/>
              </w:rPr>
              <w:t>128t/a、NH</w:t>
            </w:r>
            <w:r>
              <w:rPr>
                <w:color w:val="000000"/>
                <w:sz w:val="24"/>
                <w:vertAlign w:val="subscript"/>
              </w:rPr>
              <w:t>3</w:t>
            </w:r>
            <w:r>
              <w:rPr>
                <w:color w:val="000000"/>
                <w:sz w:val="24"/>
              </w:rPr>
              <w:t>-N</w:t>
            </w:r>
            <w:r>
              <w:rPr>
                <w:rFonts w:hint="eastAsia"/>
                <w:color w:val="000000"/>
                <w:sz w:val="24"/>
              </w:rPr>
              <w:t xml:space="preserve"> </w:t>
            </w:r>
            <w:r>
              <w:rPr>
                <w:color w:val="000000"/>
                <w:sz w:val="24"/>
              </w:rPr>
              <w:t>0.0006t/a</w:t>
            </w:r>
            <w:r>
              <w:rPr>
                <w:rFonts w:hint="eastAsia"/>
                <w:color w:val="000000"/>
                <w:sz w:val="24"/>
              </w:rPr>
              <w:t>从平原示范区污水处理厂提标改造产生的减排剩余量（</w:t>
            </w:r>
            <w:r>
              <w:rPr>
                <w:color w:val="000000"/>
                <w:sz w:val="24"/>
              </w:rPr>
              <w:t>COD</w:t>
            </w:r>
            <w:r>
              <w:rPr>
                <w:rFonts w:hint="eastAsia"/>
                <w:color w:val="000000"/>
                <w:sz w:val="24"/>
              </w:rPr>
              <w:t xml:space="preserve"> </w:t>
            </w:r>
            <w:r>
              <w:rPr>
                <w:color w:val="000000"/>
                <w:sz w:val="24"/>
              </w:rPr>
              <w:t>118.95536t/a、NH</w:t>
            </w:r>
            <w:r>
              <w:rPr>
                <w:color w:val="000000"/>
                <w:sz w:val="24"/>
                <w:vertAlign w:val="subscript"/>
              </w:rPr>
              <w:t>3</w:t>
            </w:r>
            <w:r>
              <w:rPr>
                <w:color w:val="000000"/>
                <w:sz w:val="24"/>
              </w:rPr>
              <w:t>-N</w:t>
            </w:r>
            <w:r>
              <w:rPr>
                <w:rFonts w:hint="eastAsia"/>
                <w:color w:val="000000"/>
                <w:sz w:val="24"/>
              </w:rPr>
              <w:t xml:space="preserve"> </w:t>
            </w:r>
            <w:r>
              <w:rPr>
                <w:color w:val="000000"/>
                <w:sz w:val="24"/>
              </w:rPr>
              <w:t>23.88196t/a</w:t>
            </w:r>
            <w:r>
              <w:rPr>
                <w:rFonts w:hint="eastAsia"/>
                <w:color w:val="000000"/>
                <w:sz w:val="24"/>
              </w:rPr>
              <w:t>）中扣除；项目废气排放所需替代量</w:t>
            </w:r>
            <w:r>
              <w:rPr>
                <w:color w:val="000000"/>
                <w:sz w:val="24"/>
              </w:rPr>
              <w:t>VOCs</w:t>
            </w:r>
            <w:r>
              <w:rPr>
                <w:rFonts w:hint="eastAsia"/>
                <w:color w:val="000000"/>
                <w:sz w:val="24"/>
              </w:rPr>
              <w:t xml:space="preserve"> </w:t>
            </w:r>
            <w:r>
              <w:rPr>
                <w:color w:val="000000"/>
                <w:sz w:val="24"/>
              </w:rPr>
              <w:t>0.2618</w:t>
            </w:r>
            <w:r>
              <w:rPr>
                <w:rFonts w:hint="eastAsia"/>
                <w:color w:val="000000"/>
                <w:sz w:val="24"/>
              </w:rPr>
              <w:t>t/a从新乡市海华化工有限公司清洁生产产生的减排量（</w:t>
            </w:r>
            <w:r>
              <w:rPr>
                <w:color w:val="000000"/>
                <w:sz w:val="24"/>
              </w:rPr>
              <w:t>VOCs</w:t>
            </w:r>
            <w:r>
              <w:rPr>
                <w:rFonts w:hint="eastAsia"/>
                <w:color w:val="000000"/>
                <w:sz w:val="24"/>
              </w:rPr>
              <w:t xml:space="preserve"> </w:t>
            </w:r>
            <w:r>
              <w:rPr>
                <w:color w:val="000000"/>
                <w:sz w:val="24"/>
              </w:rPr>
              <w:t>0.4842</w:t>
            </w:r>
            <w:r>
              <w:rPr>
                <w:rFonts w:hint="eastAsia"/>
                <w:color w:val="000000"/>
                <w:sz w:val="24"/>
              </w:rPr>
              <w:t>t/a）中扣除。</w:t>
            </w: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20" w:lineRule="exact"/>
              <w:ind w:firstLine="480" w:firstLineChars="200"/>
              <w:rPr>
                <w:color w:val="000000"/>
                <w:sz w:val="24"/>
              </w:rPr>
            </w:pPr>
          </w:p>
          <w:p>
            <w:pPr>
              <w:adjustRightInd w:val="0"/>
              <w:snapToGrid w:val="0"/>
              <w:spacing w:line="460" w:lineRule="exact"/>
              <w:ind w:firstLine="480" w:firstLineChars="200"/>
              <w:rPr>
                <w:color w:val="000000"/>
                <w:sz w:val="24"/>
              </w:rPr>
            </w:pPr>
          </w:p>
        </w:tc>
      </w:tr>
    </w:tbl>
    <w:p>
      <w:pPr>
        <w:pStyle w:val="14"/>
        <w:adjustRightInd w:val="0"/>
        <w:snapToGrid w:val="0"/>
        <w:spacing w:before="0" w:beforeAutospacing="0" w:after="0" w:afterAutospacing="0"/>
        <w:jc w:val="both"/>
        <w:rPr>
          <w:rFonts w:ascii="黑体" w:hAnsi="黑体" w:eastAsia="黑体"/>
          <w:snapToGrid w:val="0"/>
          <w:sz w:val="18"/>
          <w:szCs w:val="18"/>
        </w:rPr>
        <w:sectPr>
          <w:pgSz w:w="11907" w:h="16840"/>
          <w:pgMar w:top="1701" w:right="1531" w:bottom="2127" w:left="1531" w:header="851" w:footer="851" w:gutter="0"/>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1" w:hRule="atLeast"/>
          <w:jc w:val="center"/>
        </w:trPr>
        <w:tc>
          <w:tcPr>
            <w:tcW w:w="746" w:type="dxa"/>
            <w:tcMar>
              <w:left w:w="28" w:type="dxa"/>
              <w:right w:w="28" w:type="dxa"/>
            </w:tcMar>
            <w:vAlign w:val="center"/>
          </w:tcPr>
          <w:p>
            <w:pPr>
              <w:pStyle w:val="14"/>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施工</w:t>
            </w:r>
          </w:p>
          <w:p>
            <w:pPr>
              <w:pStyle w:val="14"/>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期环</w:t>
            </w:r>
          </w:p>
          <w:p>
            <w:pPr>
              <w:pStyle w:val="14"/>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境保</w:t>
            </w:r>
          </w:p>
          <w:p>
            <w:pPr>
              <w:pStyle w:val="14"/>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护措</w:t>
            </w:r>
          </w:p>
          <w:p>
            <w:pPr>
              <w:pStyle w:val="14"/>
              <w:adjustRightInd w:val="0"/>
              <w:snapToGrid w:val="0"/>
              <w:spacing w:before="0" w:beforeAutospacing="0" w:after="0" w:afterAutospacing="0"/>
              <w:jc w:val="center"/>
              <w:rPr>
                <w:rFonts w:cs="宋体"/>
                <w:bCs/>
                <w:kern w:val="2"/>
                <w:sz w:val="21"/>
                <w:szCs w:val="21"/>
                <w:lang w:val="en-US"/>
              </w:rPr>
            </w:pPr>
            <w:r>
              <w:rPr>
                <w:rFonts w:hint="eastAsia" w:cs="宋体"/>
                <w:kern w:val="2"/>
                <w:sz w:val="21"/>
                <w:szCs w:val="21"/>
                <w:lang w:val="en-US"/>
              </w:rPr>
              <w:t>施</w:t>
            </w:r>
          </w:p>
        </w:tc>
        <w:tc>
          <w:tcPr>
            <w:tcW w:w="8162" w:type="dxa"/>
            <w:vAlign w:val="center"/>
          </w:tcPr>
          <w:p>
            <w:pPr>
              <w:adjustRightInd w:val="0"/>
              <w:snapToGrid w:val="0"/>
              <w:spacing w:line="460" w:lineRule="exact"/>
              <w:ind w:firstLine="480" w:firstLineChars="200"/>
              <w:rPr>
                <w:bCs/>
                <w:color w:val="000000"/>
                <w:sz w:val="24"/>
              </w:rPr>
            </w:pPr>
            <w:r>
              <w:rPr>
                <w:rFonts w:hint="eastAsia"/>
                <w:bCs/>
                <w:color w:val="000000"/>
                <w:sz w:val="24"/>
              </w:rPr>
              <w:t>本项目利用现有厂房进行生产，不存在构筑物的建设，施工期主要工作为设备的安装和二次密闭车间的建设，设备安装主要是人工组装，仅涉及少量的焊接；二次密闭车间外购成型的保温棉彩钢板进行建设。</w:t>
            </w:r>
          </w:p>
          <w:p>
            <w:pPr>
              <w:adjustRightInd w:val="0"/>
              <w:snapToGrid w:val="0"/>
              <w:spacing w:line="460" w:lineRule="exact"/>
              <w:ind w:firstLine="480" w:firstLineChars="200"/>
              <w:rPr>
                <w:rFonts w:ascii="宋体" w:hAnsi="宋体" w:cs="宋体"/>
                <w:bCs/>
                <w:spacing w:val="-10"/>
                <w:sz w:val="24"/>
              </w:rPr>
            </w:pPr>
            <w:r>
              <w:rPr>
                <w:rFonts w:hint="eastAsia"/>
                <w:bCs/>
                <w:color w:val="000000"/>
                <w:sz w:val="24"/>
              </w:rPr>
              <w:t>施工期主要污染为施工噪声和工人生活污水，全部施工均在现有车间内，经厂房隔音和距离衰减后施工噪声对周边环境影响不大；</w:t>
            </w:r>
            <w:r>
              <w:rPr>
                <w:bCs/>
                <w:color w:val="000000"/>
                <w:sz w:val="24"/>
              </w:rPr>
              <w:t>生活污水</w:t>
            </w:r>
            <w:r>
              <w:rPr>
                <w:rFonts w:hint="eastAsia"/>
                <w:bCs/>
                <w:color w:val="000000"/>
                <w:sz w:val="24"/>
              </w:rPr>
              <w:t>经</w:t>
            </w:r>
            <w:r>
              <w:rPr>
                <w:bCs/>
                <w:color w:val="000000"/>
                <w:sz w:val="24"/>
              </w:rPr>
              <w:t>化粪池处理后</w:t>
            </w:r>
            <w:r>
              <w:rPr>
                <w:rFonts w:hint="eastAsia"/>
                <w:bCs/>
                <w:color w:val="000000"/>
                <w:sz w:val="24"/>
              </w:rPr>
              <w:t>排入获嘉县亢村污水处理厂。项目施工时间短暂，随着施工期的结束，施工影响也随之消失。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vAlign w:val="center"/>
          </w:tcPr>
          <w:p>
            <w:pPr>
              <w:adjustRightInd w:val="0"/>
              <w:snapToGrid w:val="0"/>
              <w:spacing w:line="460" w:lineRule="exact"/>
              <w:rPr>
                <w:b/>
                <w:color w:val="000000"/>
                <w:sz w:val="24"/>
              </w:rPr>
            </w:pPr>
            <w:r>
              <w:rPr>
                <w:b/>
                <w:color w:val="000000"/>
                <w:sz w:val="24"/>
              </w:rPr>
              <w:t>营运期环境影响分析：</w:t>
            </w:r>
          </w:p>
          <w:p>
            <w:pPr>
              <w:adjustRightInd w:val="0"/>
              <w:snapToGrid w:val="0"/>
              <w:spacing w:line="460" w:lineRule="exact"/>
              <w:ind w:firstLine="480" w:firstLineChars="200"/>
              <w:rPr>
                <w:color w:val="000000"/>
                <w:sz w:val="24"/>
              </w:rPr>
            </w:pPr>
            <w:r>
              <w:rPr>
                <w:color w:val="000000"/>
                <w:sz w:val="24"/>
              </w:rPr>
              <w:t>营运期污染因素主要有废水、废气、噪声、固废，具体内容详见以下分析。</w:t>
            </w:r>
          </w:p>
          <w:p>
            <w:pPr>
              <w:adjustRightInd w:val="0"/>
              <w:snapToGrid w:val="0"/>
              <w:spacing w:line="460" w:lineRule="exact"/>
              <w:ind w:firstLine="482" w:firstLineChars="200"/>
              <w:rPr>
                <w:b/>
                <w:color w:val="000000"/>
                <w:sz w:val="24"/>
              </w:rPr>
            </w:pPr>
            <w:r>
              <w:rPr>
                <w:b/>
                <w:color w:val="000000"/>
                <w:sz w:val="24"/>
              </w:rPr>
              <w:t>一、废水</w:t>
            </w:r>
          </w:p>
          <w:p>
            <w:pPr>
              <w:tabs>
                <w:tab w:val="left" w:pos="3519"/>
              </w:tabs>
              <w:adjustRightInd w:val="0"/>
              <w:snapToGrid w:val="0"/>
              <w:spacing w:line="460" w:lineRule="exact"/>
              <w:ind w:firstLine="482" w:firstLineChars="200"/>
              <w:rPr>
                <w:b/>
                <w:bCs/>
                <w:color w:val="000000"/>
                <w:sz w:val="24"/>
              </w:rPr>
            </w:pPr>
            <w:r>
              <w:rPr>
                <w:b/>
                <w:bCs/>
                <w:color w:val="000000"/>
                <w:sz w:val="24"/>
              </w:rPr>
              <w:t>1、废水污染物产排情况</w:t>
            </w:r>
          </w:p>
          <w:p>
            <w:pPr>
              <w:adjustRightInd w:val="0"/>
              <w:snapToGrid w:val="0"/>
              <w:spacing w:line="460" w:lineRule="exact"/>
              <w:ind w:firstLine="480" w:firstLineChars="200"/>
              <w:rPr>
                <w:color w:val="000000"/>
                <w:sz w:val="24"/>
              </w:rPr>
            </w:pPr>
            <w:r>
              <w:rPr>
                <w:rFonts w:hint="eastAsia"/>
                <w:color w:val="000000"/>
                <w:sz w:val="24"/>
              </w:rPr>
              <w:t>（1）生产废水</w:t>
            </w:r>
          </w:p>
          <w:p>
            <w:pPr>
              <w:adjustRightInd w:val="0"/>
              <w:snapToGrid w:val="0"/>
              <w:spacing w:line="460" w:lineRule="exact"/>
              <w:ind w:firstLine="480" w:firstLineChars="200"/>
              <w:rPr>
                <w:sz w:val="24"/>
              </w:rPr>
            </w:pPr>
            <w:r>
              <w:rPr>
                <w:rFonts w:hint="eastAsia"/>
                <w:color w:val="000000"/>
                <w:sz w:val="24"/>
              </w:rPr>
              <w:t>本项目生产废水主要为水喷淋废水。根据环氧乙烷极易溶于水、可以与水以任意比例互溶的特性，本项目采用水喷淋装置去除环氧乙烷废气，</w:t>
            </w:r>
            <w:r>
              <w:rPr>
                <w:sz w:val="24"/>
              </w:rPr>
              <w:t>设计</w:t>
            </w:r>
            <w:r>
              <w:rPr>
                <w:rFonts w:hint="eastAsia"/>
                <w:sz w:val="24"/>
              </w:rPr>
              <w:t>水</w:t>
            </w:r>
            <w:r>
              <w:rPr>
                <w:sz w:val="24"/>
              </w:rPr>
              <w:t>喷淋装置吸收液</w:t>
            </w:r>
            <w:r>
              <w:rPr>
                <w:rFonts w:hint="eastAsia"/>
                <w:sz w:val="24"/>
              </w:rPr>
              <w:t>循环使用、定期更换，约5</w:t>
            </w:r>
            <w:r>
              <w:rPr>
                <w:sz w:val="24"/>
              </w:rPr>
              <w:t>0</w:t>
            </w:r>
            <w:r>
              <w:rPr>
                <w:rFonts w:hint="eastAsia"/>
                <w:sz w:val="24"/>
              </w:rPr>
              <w:t>天</w:t>
            </w:r>
            <w:r>
              <w:rPr>
                <w:sz w:val="24"/>
              </w:rPr>
              <w:t>更换一次，</w:t>
            </w:r>
            <w:r>
              <w:rPr>
                <w:rFonts w:hint="eastAsia"/>
                <w:sz w:val="24"/>
              </w:rPr>
              <w:t>工作5</w:t>
            </w:r>
            <w:r>
              <w:rPr>
                <w:sz w:val="24"/>
              </w:rPr>
              <w:t>0</w:t>
            </w:r>
            <w:r>
              <w:rPr>
                <w:rFonts w:hint="eastAsia"/>
                <w:sz w:val="24"/>
              </w:rPr>
              <w:t>天损耗约0</w:t>
            </w:r>
            <w:r>
              <w:rPr>
                <w:sz w:val="24"/>
              </w:rPr>
              <w:t>.03</w:t>
            </w:r>
            <w:r>
              <w:rPr>
                <w:rFonts w:hint="eastAsia"/>
                <w:sz w:val="24"/>
              </w:rPr>
              <w:t>t，每次更换</w:t>
            </w:r>
            <w:r>
              <w:rPr>
                <w:sz w:val="24"/>
              </w:rPr>
              <w:t>0.3t</w:t>
            </w:r>
            <w:r>
              <w:rPr>
                <w:rFonts w:hint="eastAsia"/>
                <w:sz w:val="24"/>
              </w:rPr>
              <w:t>，</w:t>
            </w:r>
            <w:r>
              <w:rPr>
                <w:color w:val="000000"/>
                <w:sz w:val="24"/>
              </w:rPr>
              <w:t>年工作250天，</w:t>
            </w:r>
            <w:r>
              <w:rPr>
                <w:sz w:val="24"/>
              </w:rPr>
              <w:t>则</w:t>
            </w:r>
            <w:r>
              <w:rPr>
                <w:rFonts w:hint="eastAsia"/>
                <w:color w:val="000000"/>
                <w:sz w:val="24"/>
              </w:rPr>
              <w:t>水喷淋废水</w:t>
            </w:r>
            <w:r>
              <w:rPr>
                <w:sz w:val="24"/>
              </w:rPr>
              <w:t>产生量为1.5t/a。</w:t>
            </w:r>
          </w:p>
          <w:p>
            <w:pPr>
              <w:adjustRightInd w:val="0"/>
              <w:snapToGrid w:val="0"/>
              <w:spacing w:line="460" w:lineRule="exact"/>
              <w:ind w:firstLine="480" w:firstLineChars="200"/>
              <w:rPr>
                <w:sz w:val="24"/>
              </w:rPr>
            </w:pPr>
            <w:r>
              <w:rPr>
                <w:rFonts w:hint="eastAsia"/>
                <w:sz w:val="24"/>
              </w:rPr>
              <w:t>消毒后的环氧乙烷溶于水后与水合成乙二醇，水中可能含有少量未溶解的环氧乙烷，或因溶液温度变化而导致未溶解的环氧乙烷析出，环氧乙烷为有毒的易燃易爆气体，因此评价提出将此部分废水作为危险废物暂存于危废暂存间，定期委托有相应危废处理资质单位进行安全处置。</w:t>
            </w:r>
          </w:p>
          <w:p>
            <w:pPr>
              <w:adjustRightInd w:val="0"/>
              <w:snapToGrid w:val="0"/>
              <w:spacing w:line="460" w:lineRule="exact"/>
              <w:ind w:firstLine="480" w:firstLineChars="200"/>
              <w:rPr>
                <w:color w:val="000000"/>
                <w:sz w:val="24"/>
              </w:rPr>
            </w:pPr>
            <w:r>
              <w:rPr>
                <w:rFonts w:hint="eastAsia"/>
                <w:color w:val="000000"/>
                <w:sz w:val="24"/>
              </w:rPr>
              <w:t>（2）生活污水</w:t>
            </w:r>
          </w:p>
          <w:p>
            <w:pPr>
              <w:adjustRightInd w:val="0"/>
              <w:snapToGrid w:val="0"/>
              <w:spacing w:line="460" w:lineRule="exact"/>
              <w:ind w:firstLine="480" w:firstLineChars="200"/>
              <w:rPr>
                <w:color w:val="000000"/>
                <w:sz w:val="24"/>
              </w:rPr>
            </w:pPr>
            <w:r>
              <w:rPr>
                <w:color w:val="000000"/>
                <w:sz w:val="24"/>
              </w:rPr>
              <w:t>本</w:t>
            </w:r>
            <w:r>
              <w:rPr>
                <w:rFonts w:hint="eastAsia"/>
                <w:color w:val="000000"/>
                <w:sz w:val="24"/>
              </w:rPr>
              <w:t>次扩建</w:t>
            </w:r>
            <w:r>
              <w:rPr>
                <w:color w:val="000000"/>
                <w:sz w:val="24"/>
              </w:rPr>
              <w:t>项目</w:t>
            </w:r>
            <w:r>
              <w:rPr>
                <w:rFonts w:hint="eastAsia"/>
                <w:color w:val="000000"/>
                <w:sz w:val="24"/>
              </w:rPr>
              <w:t>新增</w:t>
            </w:r>
            <w:r>
              <w:rPr>
                <w:color w:val="000000"/>
                <w:sz w:val="24"/>
              </w:rPr>
              <w:t>定员16人，</w:t>
            </w:r>
            <w:r>
              <w:rPr>
                <w:rFonts w:hint="eastAsia"/>
                <w:color w:val="000000"/>
                <w:sz w:val="24"/>
              </w:rPr>
              <w:t>单</w:t>
            </w:r>
            <w:r>
              <w:rPr>
                <w:color w:val="000000"/>
                <w:sz w:val="24"/>
              </w:rPr>
              <w:t>班生产，每班8h，年工作250天，员工在厂内食宿，生活用水量按</w:t>
            </w:r>
            <w:r>
              <w:rPr>
                <w:rFonts w:hint="eastAsia"/>
                <w:color w:val="000000"/>
                <w:sz w:val="24"/>
              </w:rPr>
              <w:t>5</w:t>
            </w:r>
            <w:r>
              <w:rPr>
                <w:color w:val="000000"/>
                <w:sz w:val="24"/>
              </w:rPr>
              <w:t>0L/人·d计，则生活用水量为0.8t/d（200t/a），排放系数以0.8计，则生活污水排放量为0.64t/d（160t/a）。类比确定生活污水水质为：COD 350mg/L、SS 2</w:t>
            </w:r>
            <w:r>
              <w:rPr>
                <w:rFonts w:hint="eastAsia"/>
                <w:color w:val="000000"/>
                <w:sz w:val="24"/>
              </w:rPr>
              <w:t>5</w:t>
            </w:r>
            <w:r>
              <w:rPr>
                <w:color w:val="000000"/>
                <w:sz w:val="24"/>
              </w:rPr>
              <w:t>0mg/L、NH</w:t>
            </w:r>
            <w:r>
              <w:rPr>
                <w:color w:val="000000"/>
                <w:sz w:val="24"/>
                <w:vertAlign w:val="subscript"/>
              </w:rPr>
              <w:t>3</w:t>
            </w:r>
            <w:r>
              <w:rPr>
                <w:color w:val="000000"/>
                <w:sz w:val="24"/>
              </w:rPr>
              <w:t xml:space="preserve">-N 25mg/L、TP 3mg/L、TN 30mg/L，经化粪池处理后水质为：COD 250mg/L、SS </w:t>
            </w:r>
            <w:r>
              <w:rPr>
                <w:rFonts w:hint="eastAsia"/>
                <w:color w:val="000000"/>
                <w:sz w:val="24"/>
              </w:rPr>
              <w:t>20</w:t>
            </w:r>
            <w:r>
              <w:rPr>
                <w:color w:val="000000"/>
                <w:sz w:val="24"/>
              </w:rPr>
              <w:t>0mg/L、NH</w:t>
            </w:r>
            <w:r>
              <w:rPr>
                <w:color w:val="000000"/>
                <w:sz w:val="24"/>
                <w:vertAlign w:val="subscript"/>
              </w:rPr>
              <w:t>3</w:t>
            </w:r>
            <w:r>
              <w:rPr>
                <w:color w:val="000000"/>
                <w:sz w:val="24"/>
              </w:rPr>
              <w:t>-N 25mg/L、TP 3mg/L、TN 30mg/L，满足</w:t>
            </w:r>
            <w:r>
              <w:rPr>
                <w:rFonts w:hint="eastAsia"/>
                <w:bCs/>
                <w:color w:val="000000"/>
                <w:sz w:val="24"/>
              </w:rPr>
              <w:t>获嘉县亢村</w:t>
            </w:r>
            <w:r>
              <w:rPr>
                <w:bCs/>
                <w:color w:val="000000"/>
                <w:sz w:val="24"/>
              </w:rPr>
              <w:t>污水处理厂收水标准：COD 350mg/L、SS 280mg/L、NH</w:t>
            </w:r>
            <w:r>
              <w:rPr>
                <w:bCs/>
                <w:color w:val="000000"/>
                <w:sz w:val="24"/>
                <w:vertAlign w:val="subscript"/>
              </w:rPr>
              <w:t>3</w:t>
            </w:r>
            <w:r>
              <w:rPr>
                <w:bCs/>
                <w:color w:val="000000"/>
                <w:sz w:val="24"/>
              </w:rPr>
              <w:t>-N 40mg/L、TP 5mg/L、TN 50mg/L</w:t>
            </w:r>
            <w:r>
              <w:rPr>
                <w:color w:val="000000"/>
                <w:sz w:val="24"/>
              </w:rPr>
              <w:t>。</w:t>
            </w:r>
          </w:p>
          <w:p>
            <w:pPr>
              <w:adjustRightInd w:val="0"/>
              <w:snapToGrid w:val="0"/>
              <w:spacing w:line="460" w:lineRule="exact"/>
              <w:ind w:firstLine="480" w:firstLineChars="200"/>
              <w:rPr>
                <w:color w:val="000000"/>
                <w:sz w:val="24"/>
              </w:rPr>
            </w:pPr>
            <w:r>
              <w:rPr>
                <w:color w:val="000000"/>
                <w:sz w:val="24"/>
              </w:rPr>
              <w:t>本项目生活污水经化粪池处理后通过污水管网排入</w:t>
            </w:r>
            <w:r>
              <w:rPr>
                <w:rFonts w:hint="eastAsia"/>
                <w:bCs/>
                <w:color w:val="000000"/>
                <w:sz w:val="24"/>
              </w:rPr>
              <w:t>获嘉县亢村</w:t>
            </w:r>
            <w:r>
              <w:rPr>
                <w:bCs/>
                <w:color w:val="000000"/>
                <w:sz w:val="24"/>
              </w:rPr>
              <w:t>污水处理厂</w:t>
            </w:r>
            <w:r>
              <w:rPr>
                <w:color w:val="000000"/>
                <w:sz w:val="24"/>
              </w:rPr>
              <w:t>进一步处理，处理后</w:t>
            </w:r>
            <w:r>
              <w:rPr>
                <w:bCs/>
                <w:color w:val="000000"/>
                <w:sz w:val="24"/>
              </w:rPr>
              <w:t>出水</w:t>
            </w:r>
            <w:r>
              <w:rPr>
                <w:rFonts w:hint="eastAsia"/>
                <w:sz w:val="24"/>
              </w:rPr>
              <w:t>排入东干一支排，最终进入东孟姜女河</w:t>
            </w:r>
            <w:r>
              <w:rPr>
                <w:color w:val="000000"/>
                <w:sz w:val="24"/>
              </w:rPr>
              <w:t>，属于间接排放。</w:t>
            </w:r>
          </w:p>
          <w:p>
            <w:pPr>
              <w:adjustRightInd w:val="0"/>
              <w:snapToGrid w:val="0"/>
              <w:spacing w:line="460" w:lineRule="exact"/>
              <w:ind w:firstLine="482" w:firstLineChars="200"/>
              <w:rPr>
                <w:b/>
                <w:color w:val="000000"/>
                <w:sz w:val="24"/>
              </w:rPr>
            </w:pPr>
            <w:r>
              <w:rPr>
                <w:b/>
                <w:color w:val="000000"/>
                <w:sz w:val="24"/>
              </w:rPr>
              <w:t>2、污水处理厂依托可行性分析</w:t>
            </w:r>
          </w:p>
          <w:p>
            <w:pPr>
              <w:adjustRightInd w:val="0"/>
              <w:snapToGrid w:val="0"/>
              <w:spacing w:line="460" w:lineRule="exact"/>
              <w:ind w:firstLine="480" w:firstLineChars="200"/>
              <w:rPr>
                <w:color w:val="000000"/>
                <w:sz w:val="24"/>
              </w:rPr>
            </w:pPr>
            <w:r>
              <w:rPr>
                <w:rFonts w:hint="eastAsia"/>
                <w:bCs/>
                <w:color w:val="000000"/>
                <w:sz w:val="24"/>
              </w:rPr>
              <w:t>获嘉县亢村</w:t>
            </w:r>
            <w:r>
              <w:rPr>
                <w:color w:val="000000"/>
                <w:sz w:val="24"/>
              </w:rPr>
              <w:t>污水处理厂采用改良型一体化氧化沟工艺，设计处理规模为0.3</w:t>
            </w:r>
            <w:r>
              <w:rPr>
                <w:rFonts w:hint="eastAsia"/>
                <w:color w:val="000000"/>
                <w:sz w:val="24"/>
              </w:rPr>
              <w:t>万</w:t>
            </w:r>
            <w:r>
              <w:rPr>
                <w:color w:val="000000"/>
                <w:sz w:val="24"/>
              </w:rPr>
              <w:t>m³/d</w:t>
            </w:r>
            <w:r>
              <w:rPr>
                <w:rFonts w:hint="eastAsia"/>
                <w:color w:val="000000"/>
                <w:sz w:val="24"/>
              </w:rPr>
              <w:t>，目前实际</w:t>
            </w:r>
            <w:r>
              <w:rPr>
                <w:color w:val="000000"/>
                <w:sz w:val="24"/>
              </w:rPr>
              <w:t>污水处理量约为0.2</w:t>
            </w:r>
            <w:r>
              <w:rPr>
                <w:rFonts w:hint="eastAsia"/>
                <w:color w:val="000000"/>
                <w:sz w:val="24"/>
              </w:rPr>
              <w:t>万</w:t>
            </w:r>
            <w:r>
              <w:rPr>
                <w:color w:val="000000"/>
                <w:sz w:val="24"/>
              </w:rPr>
              <w:t>m</w:t>
            </w:r>
            <w:r>
              <w:rPr>
                <w:color w:val="000000"/>
                <w:sz w:val="24"/>
                <w:vertAlign w:val="superscript"/>
              </w:rPr>
              <w:t>3</w:t>
            </w:r>
            <w:r>
              <w:rPr>
                <w:color w:val="000000"/>
                <w:sz w:val="24"/>
              </w:rPr>
              <w:t>/d，尚有0.1</w:t>
            </w:r>
            <w:r>
              <w:rPr>
                <w:rFonts w:hint="eastAsia"/>
                <w:color w:val="000000"/>
                <w:sz w:val="24"/>
              </w:rPr>
              <w:t>万</w:t>
            </w:r>
            <w:r>
              <w:rPr>
                <w:color w:val="000000"/>
                <w:sz w:val="24"/>
              </w:rPr>
              <w:t>m</w:t>
            </w:r>
            <w:r>
              <w:rPr>
                <w:color w:val="000000"/>
                <w:sz w:val="24"/>
                <w:vertAlign w:val="superscript"/>
              </w:rPr>
              <w:t>3</w:t>
            </w:r>
            <w:r>
              <w:rPr>
                <w:color w:val="000000"/>
                <w:sz w:val="24"/>
              </w:rPr>
              <w:t>/d的余量。本项目生活污水经化粪池处理后通过污水管网排入</w:t>
            </w:r>
            <w:r>
              <w:rPr>
                <w:rFonts w:hint="eastAsia"/>
                <w:bCs/>
                <w:color w:val="000000"/>
                <w:sz w:val="24"/>
              </w:rPr>
              <w:t>获嘉县亢村</w:t>
            </w:r>
            <w:r>
              <w:rPr>
                <w:bCs/>
                <w:color w:val="000000"/>
                <w:sz w:val="24"/>
              </w:rPr>
              <w:t>污水处理厂</w:t>
            </w:r>
            <w:r>
              <w:rPr>
                <w:color w:val="000000"/>
                <w:sz w:val="24"/>
              </w:rPr>
              <w:t>进一步处理，处理后</w:t>
            </w:r>
            <w:r>
              <w:rPr>
                <w:bCs/>
                <w:color w:val="000000"/>
                <w:sz w:val="24"/>
              </w:rPr>
              <w:t>出水</w:t>
            </w:r>
            <w:r>
              <w:rPr>
                <w:rFonts w:hint="eastAsia"/>
                <w:color w:val="000000"/>
                <w:sz w:val="24"/>
              </w:rPr>
              <w:t>排入东干一支排，最终进入东孟姜女河</w:t>
            </w:r>
            <w:r>
              <w:rPr>
                <w:color w:val="000000"/>
                <w:sz w:val="24"/>
              </w:rPr>
              <w:t>。本项目新增外排废水0.64m</w:t>
            </w:r>
            <w:r>
              <w:rPr>
                <w:color w:val="000000"/>
                <w:sz w:val="24"/>
                <w:vertAlign w:val="superscript"/>
              </w:rPr>
              <w:t>3</w:t>
            </w:r>
            <w:r>
              <w:rPr>
                <w:color w:val="000000"/>
                <w:sz w:val="24"/>
              </w:rPr>
              <w:t>/d，仅占剩余处理能力的0.064%，满足项目处理的需要，不会对污水处理厂造成冲击，评价认为本项目废水经化粪池处理后经污水管网排入</w:t>
            </w:r>
            <w:r>
              <w:rPr>
                <w:rFonts w:hint="eastAsia"/>
                <w:color w:val="000000"/>
                <w:sz w:val="24"/>
              </w:rPr>
              <w:t>获嘉县亢村</w:t>
            </w:r>
            <w:r>
              <w:rPr>
                <w:color w:val="000000"/>
                <w:sz w:val="24"/>
              </w:rPr>
              <w:t>污水处理厂处理是可行的。获嘉县亢村污水处理厂出水浓度COD、NH</w:t>
            </w:r>
            <w:r>
              <w:rPr>
                <w:color w:val="000000"/>
                <w:sz w:val="24"/>
                <w:vertAlign w:val="subscript"/>
              </w:rPr>
              <w:t>3</w:t>
            </w:r>
            <w:r>
              <w:rPr>
                <w:color w:val="000000"/>
                <w:sz w:val="24"/>
              </w:rPr>
              <w:t>-N、TP执行《地表水环境质量标准》(GB3838-2002)V类水体标准，</w:t>
            </w:r>
            <w:r>
              <w:rPr>
                <w:rFonts w:hint="eastAsia"/>
                <w:color w:val="000000"/>
                <w:sz w:val="24"/>
              </w:rPr>
              <w:t>T</w:t>
            </w:r>
            <w:r>
              <w:rPr>
                <w:color w:val="000000"/>
                <w:sz w:val="24"/>
              </w:rPr>
              <w:t>N执行《城镇污水处理厂污染物排放标准》（GB18918-2002）表1一级A的标准要求。</w:t>
            </w:r>
          </w:p>
          <w:p>
            <w:pPr>
              <w:adjustRightInd w:val="0"/>
              <w:snapToGrid w:val="0"/>
              <w:spacing w:line="460" w:lineRule="exact"/>
              <w:ind w:firstLine="482" w:firstLineChars="200"/>
              <w:rPr>
                <w:b/>
                <w:color w:val="000000"/>
                <w:sz w:val="24"/>
              </w:rPr>
            </w:pPr>
            <w:r>
              <w:rPr>
                <w:b/>
                <w:color w:val="000000"/>
                <w:sz w:val="24"/>
              </w:rPr>
              <w:t>3、污染物排放信息</w:t>
            </w:r>
          </w:p>
          <w:p>
            <w:pPr>
              <w:adjustRightInd w:val="0"/>
              <w:snapToGrid w:val="0"/>
              <w:spacing w:line="460" w:lineRule="exact"/>
              <w:ind w:firstLine="480" w:firstLineChars="200"/>
              <w:rPr>
                <w:color w:val="000000"/>
                <w:sz w:val="24"/>
              </w:rPr>
            </w:pPr>
            <w:r>
              <w:rPr>
                <w:rFonts w:hint="eastAsia"/>
                <w:color w:val="000000"/>
                <w:sz w:val="24"/>
              </w:rPr>
              <w:t>①</w:t>
            </w:r>
            <w:r>
              <w:rPr>
                <w:color w:val="000000"/>
                <w:sz w:val="24"/>
              </w:rPr>
              <w:t>废水类别、污染物及污染治理设施信息表</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hint="eastAsia" w:eastAsia="黑体"/>
                <w:color w:val="000000"/>
                <w:sz w:val="24"/>
                <w:lang w:val="pt-BR"/>
              </w:rPr>
              <w:t>2</w:t>
            </w:r>
            <w:r>
              <w:rPr>
                <w:rFonts w:eastAsia="黑体"/>
                <w:color w:val="000000"/>
                <w:sz w:val="24"/>
                <w:lang w:val="pt-BR"/>
              </w:rPr>
              <w:t>2           废水类别、污染物及污染治理设施信息表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09"/>
              <w:gridCol w:w="345"/>
              <w:gridCol w:w="648"/>
              <w:gridCol w:w="567"/>
              <w:gridCol w:w="1134"/>
              <w:gridCol w:w="708"/>
              <w:gridCol w:w="709"/>
              <w:gridCol w:w="709"/>
              <w:gridCol w:w="567"/>
              <w:gridCol w:w="709"/>
              <w:gridCol w:w="154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9" w:type="dxa"/>
                  <w:vMerge w:val="restart"/>
                  <w:tcBorders>
                    <w:top w:val="single" w:color="auto" w:sz="8" w:space="0"/>
                    <w:bottom w:val="single" w:color="auto" w:sz="4" w:space="0"/>
                    <w:right w:val="single" w:color="auto" w:sz="4" w:space="0"/>
                  </w:tcBorders>
                  <w:tcMar>
                    <w:left w:w="28" w:type="dxa"/>
                    <w:right w:w="28" w:type="dxa"/>
                  </w:tcMar>
                  <w:vAlign w:val="center"/>
                </w:tcPr>
                <w:p>
                  <w:pPr>
                    <w:rPr>
                      <w:b/>
                      <w:color w:val="000000"/>
                      <w:szCs w:val="21"/>
                    </w:rPr>
                  </w:pPr>
                  <w:r>
                    <w:rPr>
                      <w:b/>
                      <w:color w:val="000000"/>
                      <w:szCs w:val="21"/>
                    </w:rPr>
                    <w:t>序号</w:t>
                  </w:r>
                </w:p>
              </w:tc>
              <w:tc>
                <w:tcPr>
                  <w:tcW w:w="345"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废水类别</w:t>
                  </w:r>
                </w:p>
              </w:tc>
              <w:tc>
                <w:tcPr>
                  <w:tcW w:w="648"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污染物种类</w:t>
                  </w:r>
                </w:p>
              </w:tc>
              <w:tc>
                <w:tcPr>
                  <w:tcW w:w="567"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排放去向</w:t>
                  </w:r>
                </w:p>
              </w:tc>
              <w:tc>
                <w:tcPr>
                  <w:tcW w:w="1134"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排放规律</w:t>
                  </w:r>
                </w:p>
              </w:tc>
              <w:tc>
                <w:tcPr>
                  <w:tcW w:w="2126" w:type="dxa"/>
                  <w:gridSpan w:val="3"/>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污染治理措施</w:t>
                  </w:r>
                </w:p>
              </w:tc>
              <w:tc>
                <w:tcPr>
                  <w:tcW w:w="567"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排放口编号</w:t>
                  </w:r>
                </w:p>
              </w:tc>
              <w:tc>
                <w:tcPr>
                  <w:tcW w:w="709"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排放口设置是否符合要求</w:t>
                  </w:r>
                </w:p>
              </w:tc>
              <w:tc>
                <w:tcPr>
                  <w:tcW w:w="1541" w:type="dxa"/>
                  <w:vMerge w:val="restart"/>
                  <w:tcBorders>
                    <w:top w:val="single" w:color="auto" w:sz="8" w:space="0"/>
                    <w:left w:val="single" w:color="auto" w:sz="4" w:space="0"/>
                    <w:bottom w:val="single" w:color="auto" w:sz="4" w:space="0"/>
                  </w:tcBorders>
                  <w:tcMar>
                    <w:left w:w="28" w:type="dxa"/>
                    <w:right w:w="28" w:type="dxa"/>
                  </w:tcMar>
                  <w:vAlign w:val="center"/>
                </w:tcPr>
                <w:p>
                  <w:pPr>
                    <w:jc w:val="center"/>
                    <w:rPr>
                      <w:b/>
                      <w:color w:val="000000"/>
                      <w:szCs w:val="21"/>
                    </w:rPr>
                  </w:pPr>
                  <w:r>
                    <w:rPr>
                      <w:b/>
                      <w:color w:val="000000"/>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9" w:type="dxa"/>
                  <w:vMerge w:val="continue"/>
                  <w:tcBorders>
                    <w:top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34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648"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1134"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污染治理措施编号</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污染治理措施名称</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r>
                    <w:rPr>
                      <w:b/>
                      <w:color w:val="000000"/>
                      <w:szCs w:val="21"/>
                    </w:rPr>
                    <w:t>污染治理措施工艺</w:t>
                  </w: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7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b/>
                      <w:color w:val="000000"/>
                      <w:szCs w:val="21"/>
                    </w:rPr>
                  </w:pPr>
                </w:p>
              </w:tc>
              <w:tc>
                <w:tcPr>
                  <w:tcW w:w="1541" w:type="dxa"/>
                  <w:vMerge w:val="continue"/>
                  <w:tcBorders>
                    <w:top w:val="single" w:color="auto" w:sz="4" w:space="0"/>
                    <w:left w:val="single" w:color="auto" w:sz="4" w:space="0"/>
                    <w:bottom w:val="single" w:color="auto" w:sz="4" w:space="0"/>
                  </w:tcBorders>
                  <w:tcMar>
                    <w:left w:w="28" w:type="dxa"/>
                    <w:right w:w="28" w:type="dxa"/>
                  </w:tcMar>
                  <w:vAlign w:val="center"/>
                </w:tcPr>
                <w:p>
                  <w:pPr>
                    <w:jc w:val="center"/>
                    <w:rPr>
                      <w:b/>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9" w:type="dxa"/>
                  <w:tcBorders>
                    <w:top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1</w:t>
                  </w:r>
                </w:p>
              </w:tc>
              <w:tc>
                <w:tcPr>
                  <w:tcW w:w="345"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生活污水</w:t>
                  </w:r>
                </w:p>
              </w:tc>
              <w:tc>
                <w:tcPr>
                  <w:tcW w:w="648"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bCs/>
                      <w:color w:val="000000"/>
                      <w:spacing w:val="-4"/>
                      <w:szCs w:val="21"/>
                    </w:rPr>
                    <w:t>COD、NH</w:t>
                  </w:r>
                  <w:r>
                    <w:rPr>
                      <w:bCs/>
                      <w:color w:val="000000"/>
                      <w:spacing w:val="-4"/>
                      <w:szCs w:val="21"/>
                      <w:vertAlign w:val="subscript"/>
                    </w:rPr>
                    <w:t>3</w:t>
                  </w:r>
                  <w:r>
                    <w:rPr>
                      <w:bCs/>
                      <w:color w:val="000000"/>
                      <w:spacing w:val="-4"/>
                      <w:szCs w:val="21"/>
                    </w:rPr>
                    <w:t>-N、SS、TP、TN</w:t>
                  </w:r>
                </w:p>
              </w:tc>
              <w:tc>
                <w:tcPr>
                  <w:tcW w:w="567"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rFonts w:hint="eastAsia"/>
                      <w:color w:val="000000"/>
                      <w:szCs w:val="21"/>
                    </w:rPr>
                    <w:t>城镇</w:t>
                  </w:r>
                  <w:r>
                    <w:rPr>
                      <w:color w:val="000000"/>
                      <w:szCs w:val="21"/>
                    </w:rPr>
                    <w:t>污水处理厂</w:t>
                  </w:r>
                </w:p>
              </w:tc>
              <w:tc>
                <w:tcPr>
                  <w:tcW w:w="1134"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间断排放，排放期间流量不稳定且无规律，但不属于冲击型排放</w:t>
                  </w:r>
                </w:p>
              </w:tc>
              <w:tc>
                <w:tcPr>
                  <w:tcW w:w="708"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TW001</w:t>
                  </w:r>
                </w:p>
              </w:tc>
              <w:tc>
                <w:tcPr>
                  <w:tcW w:w="709"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生活污水处理系统</w:t>
                  </w:r>
                </w:p>
              </w:tc>
              <w:tc>
                <w:tcPr>
                  <w:tcW w:w="709"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化粪池</w:t>
                  </w:r>
                </w:p>
              </w:tc>
              <w:tc>
                <w:tcPr>
                  <w:tcW w:w="567"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color w:val="000000"/>
                      <w:szCs w:val="21"/>
                    </w:rPr>
                    <w:t>DW001</w:t>
                  </w:r>
                </w:p>
              </w:tc>
              <w:tc>
                <w:tcPr>
                  <w:tcW w:w="709" w:type="dxa"/>
                  <w:tcBorders>
                    <w:top w:val="single" w:color="auto" w:sz="4" w:space="0"/>
                    <w:left w:val="single" w:color="auto" w:sz="4" w:space="0"/>
                    <w:bottom w:val="single" w:color="auto" w:sz="8" w:space="0"/>
                    <w:right w:val="single" w:color="auto" w:sz="4" w:space="0"/>
                  </w:tcBorders>
                  <w:tcMar>
                    <w:left w:w="28" w:type="dxa"/>
                    <w:right w:w="28" w:type="dxa"/>
                  </w:tcMar>
                  <w:vAlign w:val="center"/>
                </w:tcPr>
                <w:p>
                  <w:pPr>
                    <w:jc w:val="center"/>
                    <w:rPr>
                      <w:color w:val="000000"/>
                      <w:szCs w:val="21"/>
                    </w:rPr>
                  </w:pPr>
                  <w:r>
                    <w:rPr>
                      <w:rFonts w:eastAsia="MS Mincho"/>
                      <w:color w:val="000000"/>
                      <w:szCs w:val="21"/>
                    </w:rPr>
                    <w:sym w:font="Wingdings" w:char="F0FE"/>
                  </w:r>
                  <w:r>
                    <w:rPr>
                      <w:color w:val="000000"/>
                      <w:szCs w:val="21"/>
                    </w:rPr>
                    <w:t>是</w:t>
                  </w:r>
                </w:p>
                <w:p>
                  <w:pPr>
                    <w:jc w:val="center"/>
                    <w:rPr>
                      <w:color w:val="000000"/>
                      <w:szCs w:val="21"/>
                    </w:rPr>
                  </w:pPr>
                  <w:r>
                    <w:rPr>
                      <w:color w:val="000000"/>
                      <w:spacing w:val="-1"/>
                      <w:szCs w:val="21"/>
                    </w:rPr>
                    <w:t>□</w:t>
                  </w:r>
                  <w:r>
                    <w:rPr>
                      <w:color w:val="000000"/>
                      <w:szCs w:val="21"/>
                    </w:rPr>
                    <w:t>否</w:t>
                  </w:r>
                </w:p>
              </w:tc>
              <w:tc>
                <w:tcPr>
                  <w:tcW w:w="1541" w:type="dxa"/>
                  <w:tcBorders>
                    <w:top w:val="single" w:color="auto" w:sz="4" w:space="0"/>
                    <w:left w:val="single" w:color="auto" w:sz="4" w:space="0"/>
                    <w:bottom w:val="single" w:color="auto" w:sz="8" w:space="0"/>
                  </w:tcBorders>
                  <w:tcMar>
                    <w:left w:w="28" w:type="dxa"/>
                    <w:right w:w="28" w:type="dxa"/>
                  </w:tcMar>
                  <w:vAlign w:val="center"/>
                </w:tcPr>
                <w:p>
                  <w:pPr>
                    <w:rPr>
                      <w:color w:val="000000"/>
                      <w:szCs w:val="21"/>
                    </w:rPr>
                  </w:pPr>
                  <w:r>
                    <w:rPr>
                      <w:rFonts w:eastAsia="MS Mincho"/>
                      <w:color w:val="000000"/>
                      <w:szCs w:val="21"/>
                    </w:rPr>
                    <w:sym w:font="Wingdings" w:char="F0FE"/>
                  </w:r>
                  <w:r>
                    <w:rPr>
                      <w:color w:val="000000"/>
                      <w:szCs w:val="21"/>
                    </w:rPr>
                    <w:t>企业总排</w:t>
                  </w:r>
                </w:p>
                <w:p>
                  <w:pPr>
                    <w:rPr>
                      <w:color w:val="000000"/>
                      <w:szCs w:val="21"/>
                    </w:rPr>
                  </w:pPr>
                  <w:r>
                    <w:rPr>
                      <w:color w:val="000000"/>
                      <w:spacing w:val="-1"/>
                      <w:szCs w:val="21"/>
                    </w:rPr>
                    <w:t>□</w:t>
                  </w:r>
                  <w:r>
                    <w:rPr>
                      <w:color w:val="000000"/>
                      <w:szCs w:val="21"/>
                    </w:rPr>
                    <w:t>雨水排放</w:t>
                  </w:r>
                </w:p>
                <w:p>
                  <w:pPr>
                    <w:rPr>
                      <w:color w:val="000000"/>
                      <w:szCs w:val="21"/>
                    </w:rPr>
                  </w:pPr>
                  <w:r>
                    <w:rPr>
                      <w:color w:val="000000"/>
                      <w:spacing w:val="-1"/>
                      <w:szCs w:val="21"/>
                    </w:rPr>
                    <w:t>□</w:t>
                  </w:r>
                  <w:r>
                    <w:rPr>
                      <w:color w:val="000000"/>
                      <w:szCs w:val="21"/>
                    </w:rPr>
                    <w:t>清净下水排放</w:t>
                  </w:r>
                </w:p>
                <w:p>
                  <w:pPr>
                    <w:rPr>
                      <w:color w:val="000000"/>
                      <w:szCs w:val="21"/>
                    </w:rPr>
                  </w:pPr>
                  <w:r>
                    <w:rPr>
                      <w:color w:val="000000"/>
                      <w:spacing w:val="-1"/>
                      <w:szCs w:val="21"/>
                    </w:rPr>
                    <w:t>□</w:t>
                  </w:r>
                  <w:r>
                    <w:rPr>
                      <w:color w:val="000000"/>
                      <w:szCs w:val="21"/>
                    </w:rPr>
                    <w:t>温排水排放</w:t>
                  </w:r>
                </w:p>
                <w:p>
                  <w:pPr>
                    <w:rPr>
                      <w:color w:val="000000"/>
                      <w:szCs w:val="21"/>
                    </w:rPr>
                  </w:pPr>
                  <w:r>
                    <w:rPr>
                      <w:color w:val="000000"/>
                      <w:spacing w:val="-1"/>
                      <w:szCs w:val="21"/>
                    </w:rPr>
                    <w:t>□</w:t>
                  </w:r>
                  <w:r>
                    <w:rPr>
                      <w:color w:val="000000"/>
                      <w:szCs w:val="21"/>
                    </w:rPr>
                    <w:t>车间或车间处理设施排放口排放</w:t>
                  </w:r>
                </w:p>
              </w:tc>
            </w:tr>
          </w:tbl>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r>
              <w:rPr>
                <w:rFonts w:hint="eastAsia"/>
                <w:color w:val="000000"/>
                <w:sz w:val="24"/>
              </w:rPr>
              <w:t>②</w:t>
            </w:r>
            <w:r>
              <w:rPr>
                <w:color w:val="000000"/>
                <w:sz w:val="24"/>
              </w:rPr>
              <w:t>废水间接排放口基本情况</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表23           废水间接排放口基本情况表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2"/>
              <w:gridCol w:w="564"/>
              <w:gridCol w:w="1134"/>
              <w:gridCol w:w="993"/>
              <w:gridCol w:w="567"/>
              <w:gridCol w:w="567"/>
              <w:gridCol w:w="425"/>
              <w:gridCol w:w="567"/>
              <w:gridCol w:w="567"/>
              <w:gridCol w:w="709"/>
              <w:gridCol w:w="154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restart"/>
                  <w:tcBorders>
                    <w:top w:val="single" w:color="auto" w:sz="8" w:space="0"/>
                    <w:bottom w:val="single" w:color="auto" w:sz="4" w:space="0"/>
                    <w:right w:val="single" w:color="auto" w:sz="4" w:space="0"/>
                  </w:tcBorders>
                  <w:tcMar>
                    <w:left w:w="0" w:type="dxa"/>
                    <w:right w:w="0" w:type="dxa"/>
                  </w:tcMar>
                  <w:vAlign w:val="center"/>
                </w:tcPr>
                <w:p>
                  <w:pPr>
                    <w:jc w:val="center"/>
                    <w:rPr>
                      <w:b/>
                      <w:color w:val="000000"/>
                      <w:szCs w:val="21"/>
                    </w:rPr>
                  </w:pPr>
                  <w:r>
                    <w:rPr>
                      <w:b/>
                      <w:color w:val="000000"/>
                      <w:szCs w:val="21"/>
                    </w:rPr>
                    <w:t>序号</w:t>
                  </w:r>
                </w:p>
              </w:tc>
              <w:tc>
                <w:tcPr>
                  <w:tcW w:w="564" w:type="dxa"/>
                  <w:vMerge w:val="restar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排放口编号</w:t>
                  </w:r>
                </w:p>
              </w:tc>
              <w:tc>
                <w:tcPr>
                  <w:tcW w:w="2127" w:type="dxa"/>
                  <w:gridSpan w:val="2"/>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排放口地理坐标</w:t>
                  </w:r>
                </w:p>
              </w:tc>
              <w:tc>
                <w:tcPr>
                  <w:tcW w:w="567" w:type="dxa"/>
                  <w:vMerge w:val="restar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废水排放量/</w:t>
                  </w:r>
                  <w:r>
                    <w:rPr>
                      <w:rFonts w:hint="eastAsia"/>
                      <w:b/>
                      <w:color w:val="000000"/>
                      <w:szCs w:val="21"/>
                    </w:rPr>
                    <w:t>(</w:t>
                  </w:r>
                  <w:r>
                    <w:rPr>
                      <w:b/>
                      <w:color w:val="000000"/>
                      <w:szCs w:val="21"/>
                    </w:rPr>
                    <w:t>万t/a</w:t>
                  </w:r>
                  <w:r>
                    <w:rPr>
                      <w:rFonts w:hint="eastAsia"/>
                      <w:b/>
                      <w:color w:val="000000"/>
                      <w:szCs w:val="21"/>
                    </w:rPr>
                    <w:t>)</w:t>
                  </w:r>
                </w:p>
              </w:tc>
              <w:tc>
                <w:tcPr>
                  <w:tcW w:w="567" w:type="dxa"/>
                  <w:vMerge w:val="restar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排放去向</w:t>
                  </w:r>
                </w:p>
              </w:tc>
              <w:tc>
                <w:tcPr>
                  <w:tcW w:w="425" w:type="dxa"/>
                  <w:vMerge w:val="restar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排放规律</w:t>
                  </w:r>
                </w:p>
              </w:tc>
              <w:tc>
                <w:tcPr>
                  <w:tcW w:w="567" w:type="dxa"/>
                  <w:vMerge w:val="restar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间歇排放时段</w:t>
                  </w:r>
                </w:p>
              </w:tc>
              <w:tc>
                <w:tcPr>
                  <w:tcW w:w="2817" w:type="dxa"/>
                  <w:gridSpan w:val="3"/>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受纳污水处理厂信息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continue"/>
                  <w:tcBorders>
                    <w:top w:val="single" w:color="auto" w:sz="4" w:space="0"/>
                    <w:bottom w:val="single" w:color="auto" w:sz="4" w:space="0"/>
                    <w:right w:val="single" w:color="auto" w:sz="4" w:space="0"/>
                  </w:tcBorders>
                  <w:tcMar>
                    <w:left w:w="0" w:type="dxa"/>
                    <w:right w:w="0" w:type="dxa"/>
                  </w:tcMar>
                  <w:vAlign w:val="center"/>
                </w:tcPr>
                <w:p>
                  <w:pPr>
                    <w:jc w:val="center"/>
                    <w:rPr>
                      <w:b/>
                      <w:color w:val="000000"/>
                      <w:szCs w:val="21"/>
                    </w:rPr>
                  </w:pPr>
                </w:p>
              </w:tc>
              <w:tc>
                <w:tcPr>
                  <w:tcW w:w="564" w:type="dxa"/>
                  <w:vMerge w:val="continue"/>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经度</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纬度</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名称</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污染物种类</w:t>
                  </w:r>
                </w:p>
              </w:tc>
              <w:tc>
                <w:tcPr>
                  <w:tcW w:w="1541" w:type="dxa"/>
                  <w:tcBorders>
                    <w:top w:val="single" w:color="auto" w:sz="4" w:space="0"/>
                    <w:left w:val="single" w:color="auto" w:sz="4" w:space="0"/>
                    <w:bottom w:val="single" w:color="auto" w:sz="4" w:space="0"/>
                  </w:tcBorders>
                  <w:vAlign w:val="center"/>
                </w:tcPr>
                <w:p>
                  <w:pPr>
                    <w:jc w:val="center"/>
                    <w:rPr>
                      <w:b/>
                      <w:color w:val="000000"/>
                      <w:szCs w:val="21"/>
                    </w:rPr>
                  </w:pPr>
                  <w:r>
                    <w:rPr>
                      <w:b/>
                      <w:color w:val="000000"/>
                      <w:szCs w:val="21"/>
                    </w:rPr>
                    <w:t>国家或地方污染物排放标准浓度限值/（mg/L）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restart"/>
                  <w:tcBorders>
                    <w:top w:val="single" w:color="auto" w:sz="4" w:space="0"/>
                    <w:right w:val="single" w:color="auto" w:sz="4" w:space="0"/>
                  </w:tcBorders>
                  <w:tcMar>
                    <w:left w:w="0" w:type="dxa"/>
                    <w:right w:w="0" w:type="dxa"/>
                  </w:tcMar>
                  <w:vAlign w:val="center"/>
                </w:tcPr>
                <w:p>
                  <w:pPr>
                    <w:jc w:val="center"/>
                    <w:rPr>
                      <w:color w:val="000000"/>
                      <w:szCs w:val="21"/>
                    </w:rPr>
                  </w:pPr>
                  <w:r>
                    <w:rPr>
                      <w:color w:val="000000"/>
                      <w:szCs w:val="21"/>
                    </w:rPr>
                    <w:t>1</w:t>
                  </w:r>
                </w:p>
              </w:tc>
              <w:tc>
                <w:tcPr>
                  <w:tcW w:w="564"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DW001</w:t>
                  </w:r>
                </w:p>
              </w:tc>
              <w:tc>
                <w:tcPr>
                  <w:tcW w:w="1134" w:type="dxa"/>
                  <w:vMerge w:val="restart"/>
                  <w:tcBorders>
                    <w:top w:val="single" w:color="auto" w:sz="4" w:space="0"/>
                    <w:left w:val="single" w:color="auto" w:sz="4" w:space="0"/>
                    <w:right w:val="single" w:color="auto" w:sz="4" w:space="0"/>
                  </w:tcBorders>
                  <w:vAlign w:val="center"/>
                </w:tcPr>
                <w:p>
                  <w:pPr>
                    <w:rPr>
                      <w:color w:val="000000"/>
                      <w:szCs w:val="21"/>
                    </w:rPr>
                  </w:pPr>
                  <w:r>
                    <w:rPr>
                      <w:color w:val="000000"/>
                      <w:szCs w:val="21"/>
                    </w:rPr>
                    <w:t>113.705961°</w:t>
                  </w:r>
                </w:p>
              </w:tc>
              <w:tc>
                <w:tcPr>
                  <w:tcW w:w="993" w:type="dxa"/>
                  <w:vMerge w:val="restart"/>
                  <w:tcBorders>
                    <w:top w:val="single" w:color="auto" w:sz="4" w:space="0"/>
                    <w:left w:val="single" w:color="auto" w:sz="4" w:space="0"/>
                    <w:right w:val="single" w:color="auto" w:sz="4" w:space="0"/>
                  </w:tcBorders>
                  <w:vAlign w:val="center"/>
                </w:tcPr>
                <w:p>
                  <w:pPr>
                    <w:rPr>
                      <w:color w:val="000000"/>
                      <w:szCs w:val="21"/>
                    </w:rPr>
                  </w:pPr>
                  <w:r>
                    <w:rPr>
                      <w:color w:val="000000"/>
                      <w:szCs w:val="21"/>
                    </w:rPr>
                    <w:t>35.095150°</w:t>
                  </w:r>
                </w:p>
              </w:tc>
              <w:tc>
                <w:tcPr>
                  <w:tcW w:w="567"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0</w:t>
                  </w:r>
                  <w:r>
                    <w:rPr>
                      <w:color w:val="000000"/>
                      <w:szCs w:val="21"/>
                    </w:rPr>
                    <w:t>.016</w:t>
                  </w:r>
                </w:p>
              </w:tc>
              <w:tc>
                <w:tcPr>
                  <w:tcW w:w="567"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城镇污水处理厂</w:t>
                  </w:r>
                </w:p>
              </w:tc>
              <w:tc>
                <w:tcPr>
                  <w:tcW w:w="425"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间断排放</w:t>
                  </w:r>
                </w:p>
              </w:tc>
              <w:tc>
                <w:tcPr>
                  <w:tcW w:w="567" w:type="dxa"/>
                  <w:vMerge w:val="restart"/>
                  <w:tcBorders>
                    <w:top w:val="single" w:color="auto" w:sz="4" w:space="0"/>
                    <w:left w:val="single" w:color="auto" w:sz="4" w:space="0"/>
                    <w:right w:val="single" w:color="auto" w:sz="4" w:space="0"/>
                  </w:tcBorders>
                  <w:vAlign w:val="center"/>
                </w:tcPr>
                <w:p>
                  <w:pPr>
                    <w:jc w:val="center"/>
                    <w:rPr>
                      <w:szCs w:val="21"/>
                    </w:rPr>
                  </w:pPr>
                  <w:r>
                    <w:rPr>
                      <w:szCs w:val="21"/>
                    </w:rPr>
                    <w:t>08:00~</w:t>
                  </w:r>
                </w:p>
                <w:p>
                  <w:pPr>
                    <w:jc w:val="center"/>
                    <w:rPr>
                      <w:color w:val="000000"/>
                      <w:szCs w:val="21"/>
                    </w:rPr>
                  </w:pPr>
                  <w:r>
                    <w:rPr>
                      <w:szCs w:val="21"/>
                    </w:rPr>
                    <w:t>18:00</w:t>
                  </w:r>
                </w:p>
              </w:tc>
              <w:tc>
                <w:tcPr>
                  <w:tcW w:w="567" w:type="dxa"/>
                  <w:vMerge w:val="restart"/>
                  <w:tcBorders>
                    <w:top w:val="single" w:color="auto" w:sz="4" w:space="0"/>
                    <w:left w:val="single" w:color="auto" w:sz="4" w:space="0"/>
                    <w:right w:val="single" w:color="auto" w:sz="4" w:space="0"/>
                  </w:tcBorders>
                  <w:vAlign w:val="center"/>
                </w:tcPr>
                <w:p>
                  <w:pPr>
                    <w:jc w:val="center"/>
                    <w:rPr>
                      <w:color w:val="000000"/>
                      <w:szCs w:val="21"/>
                    </w:rPr>
                  </w:pPr>
                  <w:r>
                    <w:rPr>
                      <w:szCs w:val="21"/>
                    </w:rPr>
                    <w:t>获嘉县亢村</w:t>
                  </w:r>
                  <w:r>
                    <w:rPr>
                      <w:bCs/>
                      <w:color w:val="000000"/>
                      <w:szCs w:val="21"/>
                    </w:rPr>
                    <w:t>污水处理厂</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COD</w:t>
                  </w:r>
                </w:p>
              </w:tc>
              <w:tc>
                <w:tcPr>
                  <w:tcW w:w="154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4</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continue"/>
                  <w:tcBorders>
                    <w:right w:val="single" w:color="auto" w:sz="4" w:space="0"/>
                  </w:tcBorders>
                  <w:tcMar>
                    <w:left w:w="0" w:type="dxa"/>
                    <w:right w:w="0" w:type="dxa"/>
                  </w:tcMar>
                  <w:vAlign w:val="center"/>
                </w:tcPr>
                <w:p>
                  <w:pPr>
                    <w:jc w:val="center"/>
                    <w:rPr>
                      <w:color w:val="000000"/>
                      <w:szCs w:val="21"/>
                    </w:rPr>
                  </w:pPr>
                </w:p>
              </w:tc>
              <w:tc>
                <w:tcPr>
                  <w:tcW w:w="564" w:type="dxa"/>
                  <w:vMerge w:val="continue"/>
                  <w:tcBorders>
                    <w:left w:val="single" w:color="auto" w:sz="4" w:space="0"/>
                    <w:right w:val="single" w:color="auto" w:sz="4" w:space="0"/>
                  </w:tcBorders>
                  <w:vAlign w:val="center"/>
                </w:tcPr>
                <w:p>
                  <w:pPr>
                    <w:jc w:val="center"/>
                    <w:rPr>
                      <w:color w:val="000000"/>
                      <w:szCs w:val="21"/>
                    </w:rPr>
                  </w:pPr>
                </w:p>
              </w:tc>
              <w:tc>
                <w:tcPr>
                  <w:tcW w:w="1134" w:type="dxa"/>
                  <w:vMerge w:val="continue"/>
                  <w:tcBorders>
                    <w:left w:val="single" w:color="auto" w:sz="4" w:space="0"/>
                    <w:right w:val="single" w:color="auto" w:sz="4" w:space="0"/>
                  </w:tcBorders>
                  <w:vAlign w:val="center"/>
                </w:tcPr>
                <w:p>
                  <w:pPr>
                    <w:jc w:val="center"/>
                    <w:rPr>
                      <w:bCs/>
                      <w:color w:val="000000"/>
                      <w:spacing w:val="-4"/>
                      <w:szCs w:val="21"/>
                    </w:rPr>
                  </w:pPr>
                </w:p>
              </w:tc>
              <w:tc>
                <w:tcPr>
                  <w:tcW w:w="993"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b/>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425"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54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continue"/>
                  <w:tcBorders>
                    <w:right w:val="single" w:color="auto" w:sz="4" w:space="0"/>
                  </w:tcBorders>
                  <w:tcMar>
                    <w:left w:w="0" w:type="dxa"/>
                    <w:right w:w="0" w:type="dxa"/>
                  </w:tcMar>
                  <w:vAlign w:val="center"/>
                </w:tcPr>
                <w:p>
                  <w:pPr>
                    <w:jc w:val="center"/>
                    <w:rPr>
                      <w:color w:val="000000"/>
                      <w:szCs w:val="21"/>
                    </w:rPr>
                  </w:pPr>
                </w:p>
              </w:tc>
              <w:tc>
                <w:tcPr>
                  <w:tcW w:w="564" w:type="dxa"/>
                  <w:vMerge w:val="continue"/>
                  <w:tcBorders>
                    <w:left w:val="single" w:color="auto" w:sz="4" w:space="0"/>
                    <w:right w:val="single" w:color="auto" w:sz="4" w:space="0"/>
                  </w:tcBorders>
                  <w:vAlign w:val="center"/>
                </w:tcPr>
                <w:p>
                  <w:pPr>
                    <w:jc w:val="center"/>
                    <w:rPr>
                      <w:color w:val="000000"/>
                      <w:szCs w:val="21"/>
                    </w:rPr>
                  </w:pPr>
                </w:p>
              </w:tc>
              <w:tc>
                <w:tcPr>
                  <w:tcW w:w="1134" w:type="dxa"/>
                  <w:vMerge w:val="continue"/>
                  <w:tcBorders>
                    <w:left w:val="single" w:color="auto" w:sz="4" w:space="0"/>
                    <w:right w:val="single" w:color="auto" w:sz="4" w:space="0"/>
                  </w:tcBorders>
                  <w:vAlign w:val="center"/>
                </w:tcPr>
                <w:p>
                  <w:pPr>
                    <w:jc w:val="center"/>
                    <w:rPr>
                      <w:bCs/>
                      <w:color w:val="000000"/>
                      <w:spacing w:val="-4"/>
                      <w:szCs w:val="21"/>
                    </w:rPr>
                  </w:pPr>
                </w:p>
              </w:tc>
              <w:tc>
                <w:tcPr>
                  <w:tcW w:w="993"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b/>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425"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color w:val="000000"/>
                      <w:spacing w:val="-4"/>
                      <w:szCs w:val="21"/>
                    </w:rPr>
                  </w:pPr>
                  <w:r>
                    <w:rPr>
                      <w:rFonts w:hint="eastAsia"/>
                      <w:bCs/>
                      <w:color w:val="000000"/>
                      <w:spacing w:val="-4"/>
                      <w:szCs w:val="21"/>
                    </w:rPr>
                    <w:t>S</w:t>
                  </w:r>
                  <w:r>
                    <w:rPr>
                      <w:bCs/>
                      <w:color w:val="000000"/>
                      <w:spacing w:val="-4"/>
                      <w:szCs w:val="21"/>
                    </w:rPr>
                    <w:t>S</w:t>
                  </w:r>
                </w:p>
              </w:tc>
              <w:tc>
                <w:tcPr>
                  <w:tcW w:w="154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1</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continue"/>
                  <w:tcBorders>
                    <w:right w:val="single" w:color="auto" w:sz="4" w:space="0"/>
                  </w:tcBorders>
                  <w:tcMar>
                    <w:left w:w="0" w:type="dxa"/>
                    <w:right w:w="0" w:type="dxa"/>
                  </w:tcMar>
                  <w:vAlign w:val="center"/>
                </w:tcPr>
                <w:p>
                  <w:pPr>
                    <w:jc w:val="center"/>
                    <w:rPr>
                      <w:color w:val="000000"/>
                      <w:szCs w:val="21"/>
                    </w:rPr>
                  </w:pPr>
                </w:p>
              </w:tc>
              <w:tc>
                <w:tcPr>
                  <w:tcW w:w="564" w:type="dxa"/>
                  <w:vMerge w:val="continue"/>
                  <w:tcBorders>
                    <w:left w:val="single" w:color="auto" w:sz="4" w:space="0"/>
                    <w:right w:val="single" w:color="auto" w:sz="4" w:space="0"/>
                  </w:tcBorders>
                  <w:vAlign w:val="center"/>
                </w:tcPr>
                <w:p>
                  <w:pPr>
                    <w:jc w:val="center"/>
                    <w:rPr>
                      <w:color w:val="000000"/>
                      <w:szCs w:val="21"/>
                    </w:rPr>
                  </w:pPr>
                </w:p>
              </w:tc>
              <w:tc>
                <w:tcPr>
                  <w:tcW w:w="1134" w:type="dxa"/>
                  <w:vMerge w:val="continue"/>
                  <w:tcBorders>
                    <w:left w:val="single" w:color="auto" w:sz="4" w:space="0"/>
                    <w:right w:val="single" w:color="auto" w:sz="4" w:space="0"/>
                  </w:tcBorders>
                  <w:vAlign w:val="center"/>
                </w:tcPr>
                <w:p>
                  <w:pPr>
                    <w:jc w:val="center"/>
                    <w:rPr>
                      <w:bCs/>
                      <w:color w:val="000000"/>
                      <w:spacing w:val="-4"/>
                      <w:szCs w:val="21"/>
                    </w:rPr>
                  </w:pPr>
                </w:p>
              </w:tc>
              <w:tc>
                <w:tcPr>
                  <w:tcW w:w="993"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b/>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425"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567" w:type="dxa"/>
                  <w:vMerge w:val="continue"/>
                  <w:tcBorders>
                    <w:left w:val="single" w:color="auto" w:sz="4" w:space="0"/>
                    <w:right w:val="single" w:color="auto" w:sz="4" w:space="0"/>
                  </w:tcBorders>
                  <w:vAlign w:val="center"/>
                </w:tcPr>
                <w:p>
                  <w:pPr>
                    <w:jc w:val="center"/>
                    <w:rPr>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TP</w:t>
                  </w:r>
                </w:p>
              </w:tc>
              <w:tc>
                <w:tcPr>
                  <w:tcW w:w="154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0</w:t>
                  </w:r>
                  <w:r>
                    <w:rPr>
                      <w:color w:val="000000"/>
                      <w:szCs w:val="21"/>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vMerge w:val="continue"/>
                  <w:tcBorders>
                    <w:bottom w:val="single" w:color="auto" w:sz="8" w:space="0"/>
                    <w:right w:val="single" w:color="auto" w:sz="4" w:space="0"/>
                  </w:tcBorders>
                  <w:tcMar>
                    <w:left w:w="0" w:type="dxa"/>
                    <w:right w:w="0" w:type="dxa"/>
                  </w:tcMar>
                  <w:vAlign w:val="center"/>
                </w:tcPr>
                <w:p>
                  <w:pPr>
                    <w:jc w:val="center"/>
                    <w:rPr>
                      <w:color w:val="000000"/>
                      <w:szCs w:val="21"/>
                    </w:rPr>
                  </w:pPr>
                </w:p>
              </w:tc>
              <w:tc>
                <w:tcPr>
                  <w:tcW w:w="564"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1134" w:type="dxa"/>
                  <w:vMerge w:val="continue"/>
                  <w:tcBorders>
                    <w:left w:val="single" w:color="auto" w:sz="4" w:space="0"/>
                    <w:bottom w:val="single" w:color="auto" w:sz="8" w:space="0"/>
                    <w:right w:val="single" w:color="auto" w:sz="4" w:space="0"/>
                  </w:tcBorders>
                  <w:vAlign w:val="center"/>
                </w:tcPr>
                <w:p>
                  <w:pPr>
                    <w:jc w:val="center"/>
                    <w:rPr>
                      <w:bCs/>
                      <w:color w:val="000000"/>
                      <w:spacing w:val="-4"/>
                      <w:szCs w:val="21"/>
                    </w:rPr>
                  </w:pPr>
                </w:p>
              </w:tc>
              <w:tc>
                <w:tcPr>
                  <w:tcW w:w="993"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567" w:type="dxa"/>
                  <w:vMerge w:val="continue"/>
                  <w:tcBorders>
                    <w:left w:val="single" w:color="auto" w:sz="4" w:space="0"/>
                    <w:bottom w:val="single" w:color="auto" w:sz="8" w:space="0"/>
                    <w:right w:val="single" w:color="auto" w:sz="4" w:space="0"/>
                  </w:tcBorders>
                  <w:vAlign w:val="center"/>
                </w:tcPr>
                <w:p>
                  <w:pPr>
                    <w:jc w:val="center"/>
                    <w:rPr>
                      <w:b/>
                      <w:color w:val="000000"/>
                      <w:szCs w:val="21"/>
                    </w:rPr>
                  </w:pPr>
                </w:p>
              </w:tc>
              <w:tc>
                <w:tcPr>
                  <w:tcW w:w="567"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425"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567"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567" w:type="dxa"/>
                  <w:vMerge w:val="continue"/>
                  <w:tcBorders>
                    <w:left w:val="single" w:color="auto" w:sz="4" w:space="0"/>
                    <w:bottom w:val="single" w:color="auto" w:sz="8" w:space="0"/>
                    <w:right w:val="single" w:color="auto" w:sz="4" w:space="0"/>
                  </w:tcBorders>
                  <w:vAlign w:val="center"/>
                </w:tcPr>
                <w:p>
                  <w:pPr>
                    <w:jc w:val="center"/>
                    <w:rPr>
                      <w:color w:val="000000"/>
                      <w:szCs w:val="21"/>
                    </w:rPr>
                  </w:pPr>
                </w:p>
              </w:tc>
              <w:tc>
                <w:tcPr>
                  <w:tcW w:w="709" w:type="dxa"/>
                  <w:tcBorders>
                    <w:top w:val="single" w:color="auto" w:sz="4" w:space="0"/>
                    <w:left w:val="single" w:color="auto" w:sz="4" w:space="0"/>
                    <w:bottom w:val="single" w:color="auto" w:sz="8" w:space="0"/>
                    <w:right w:val="single" w:color="auto" w:sz="4" w:space="0"/>
                  </w:tcBorders>
                  <w:vAlign w:val="center"/>
                </w:tcPr>
                <w:p>
                  <w:pPr>
                    <w:jc w:val="center"/>
                    <w:rPr>
                      <w:bCs/>
                      <w:color w:val="000000"/>
                      <w:spacing w:val="-4"/>
                      <w:szCs w:val="21"/>
                    </w:rPr>
                  </w:pPr>
                  <w:r>
                    <w:rPr>
                      <w:bCs/>
                      <w:color w:val="000000"/>
                      <w:spacing w:val="-4"/>
                      <w:szCs w:val="21"/>
                    </w:rPr>
                    <w:t>TN</w:t>
                  </w:r>
                </w:p>
              </w:tc>
              <w:tc>
                <w:tcPr>
                  <w:tcW w:w="1541" w:type="dxa"/>
                  <w:tcBorders>
                    <w:top w:val="single" w:color="auto" w:sz="4" w:space="0"/>
                    <w:left w:val="single" w:color="auto" w:sz="4" w:space="0"/>
                    <w:bottom w:val="single" w:color="auto" w:sz="8" w:space="0"/>
                  </w:tcBorders>
                  <w:vAlign w:val="center"/>
                </w:tcPr>
                <w:p>
                  <w:pPr>
                    <w:jc w:val="center"/>
                    <w:rPr>
                      <w:color w:val="000000"/>
                      <w:szCs w:val="21"/>
                    </w:rPr>
                  </w:pPr>
                  <w:r>
                    <w:rPr>
                      <w:rFonts w:hint="eastAsia"/>
                      <w:color w:val="000000"/>
                      <w:szCs w:val="21"/>
                    </w:rPr>
                    <w:t>1</w:t>
                  </w:r>
                  <w:r>
                    <w:rPr>
                      <w:color w:val="000000"/>
                      <w:szCs w:val="21"/>
                    </w:rPr>
                    <w:t>5</w:t>
                  </w:r>
                </w:p>
              </w:tc>
            </w:tr>
          </w:tbl>
          <w:p>
            <w:pPr>
              <w:adjustRightInd w:val="0"/>
              <w:snapToGrid w:val="0"/>
              <w:spacing w:line="460" w:lineRule="exact"/>
              <w:ind w:firstLine="480" w:firstLineChars="200"/>
              <w:rPr>
                <w:color w:val="000000"/>
                <w:sz w:val="24"/>
              </w:rPr>
            </w:pPr>
            <w:r>
              <w:rPr>
                <w:rFonts w:hint="eastAsia"/>
                <w:color w:val="000000"/>
                <w:sz w:val="24"/>
              </w:rPr>
              <w:t>③</w:t>
            </w:r>
            <w:r>
              <w:rPr>
                <w:color w:val="000000"/>
                <w:sz w:val="24"/>
              </w:rPr>
              <w:t>废水污染物排放执行标准表</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表24              废水污染物排放执行标准表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7"/>
              <w:gridCol w:w="938"/>
              <w:gridCol w:w="992"/>
              <w:gridCol w:w="3402"/>
              <w:gridCol w:w="19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Merge w:val="restart"/>
                  <w:vAlign w:val="center"/>
                </w:tcPr>
                <w:p>
                  <w:pPr>
                    <w:jc w:val="center"/>
                    <w:rPr>
                      <w:b/>
                      <w:color w:val="000000"/>
                      <w:szCs w:val="21"/>
                    </w:rPr>
                  </w:pPr>
                  <w:r>
                    <w:rPr>
                      <w:b/>
                      <w:color w:val="000000"/>
                      <w:szCs w:val="21"/>
                    </w:rPr>
                    <w:t>序号</w:t>
                  </w:r>
                </w:p>
              </w:tc>
              <w:tc>
                <w:tcPr>
                  <w:tcW w:w="938" w:type="dxa"/>
                  <w:vMerge w:val="restart"/>
                  <w:vAlign w:val="center"/>
                </w:tcPr>
                <w:p>
                  <w:pPr>
                    <w:jc w:val="center"/>
                    <w:rPr>
                      <w:b/>
                      <w:color w:val="000000"/>
                      <w:szCs w:val="21"/>
                    </w:rPr>
                  </w:pPr>
                  <w:r>
                    <w:rPr>
                      <w:b/>
                      <w:color w:val="000000"/>
                      <w:szCs w:val="21"/>
                    </w:rPr>
                    <w:t>排放口编号</w:t>
                  </w:r>
                </w:p>
              </w:tc>
              <w:tc>
                <w:tcPr>
                  <w:tcW w:w="992" w:type="dxa"/>
                  <w:vMerge w:val="restart"/>
                  <w:vAlign w:val="center"/>
                </w:tcPr>
                <w:p>
                  <w:pPr>
                    <w:jc w:val="center"/>
                    <w:rPr>
                      <w:b/>
                      <w:color w:val="000000"/>
                      <w:szCs w:val="21"/>
                    </w:rPr>
                  </w:pPr>
                  <w:r>
                    <w:rPr>
                      <w:b/>
                      <w:color w:val="000000"/>
                      <w:szCs w:val="21"/>
                    </w:rPr>
                    <w:t>污染物种类</w:t>
                  </w:r>
                </w:p>
              </w:tc>
              <w:tc>
                <w:tcPr>
                  <w:tcW w:w="5369" w:type="dxa"/>
                  <w:gridSpan w:val="2"/>
                  <w:vAlign w:val="center"/>
                </w:tcPr>
                <w:p>
                  <w:pPr>
                    <w:jc w:val="center"/>
                    <w:rPr>
                      <w:b/>
                      <w:color w:val="000000"/>
                      <w:szCs w:val="21"/>
                      <w:highlight w:val="yellow"/>
                    </w:rPr>
                  </w:pPr>
                  <w:r>
                    <w:rPr>
                      <w:b/>
                      <w:color w:val="000000"/>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Merge w:val="continue"/>
                  <w:vAlign w:val="center"/>
                </w:tcPr>
                <w:p>
                  <w:pPr>
                    <w:jc w:val="center"/>
                    <w:rPr>
                      <w:b/>
                      <w:color w:val="000000"/>
                      <w:szCs w:val="21"/>
                    </w:rPr>
                  </w:pPr>
                </w:p>
              </w:tc>
              <w:tc>
                <w:tcPr>
                  <w:tcW w:w="938" w:type="dxa"/>
                  <w:vMerge w:val="continue"/>
                  <w:vAlign w:val="center"/>
                </w:tcPr>
                <w:p>
                  <w:pPr>
                    <w:jc w:val="center"/>
                    <w:rPr>
                      <w:b/>
                      <w:color w:val="000000"/>
                      <w:szCs w:val="21"/>
                    </w:rPr>
                  </w:pPr>
                </w:p>
              </w:tc>
              <w:tc>
                <w:tcPr>
                  <w:tcW w:w="992" w:type="dxa"/>
                  <w:vMerge w:val="continue"/>
                  <w:vAlign w:val="center"/>
                </w:tcPr>
                <w:p>
                  <w:pPr>
                    <w:jc w:val="center"/>
                    <w:rPr>
                      <w:b/>
                      <w:color w:val="000000"/>
                      <w:szCs w:val="21"/>
                    </w:rPr>
                  </w:pPr>
                </w:p>
              </w:tc>
              <w:tc>
                <w:tcPr>
                  <w:tcW w:w="3402" w:type="dxa"/>
                  <w:vAlign w:val="center"/>
                </w:tcPr>
                <w:p>
                  <w:pPr>
                    <w:jc w:val="center"/>
                    <w:rPr>
                      <w:b/>
                      <w:color w:val="000000"/>
                      <w:szCs w:val="21"/>
                    </w:rPr>
                  </w:pPr>
                  <w:r>
                    <w:rPr>
                      <w:b/>
                      <w:color w:val="000000"/>
                      <w:szCs w:val="21"/>
                    </w:rPr>
                    <w:t>名称</w:t>
                  </w:r>
                </w:p>
              </w:tc>
              <w:tc>
                <w:tcPr>
                  <w:tcW w:w="1967" w:type="dxa"/>
                  <w:vAlign w:val="center"/>
                </w:tcPr>
                <w:p>
                  <w:pPr>
                    <w:jc w:val="center"/>
                    <w:rPr>
                      <w:b/>
                      <w:color w:val="000000"/>
                      <w:szCs w:val="21"/>
                    </w:rPr>
                  </w:pPr>
                  <w:r>
                    <w:rPr>
                      <w:b/>
                      <w:color w:val="000000"/>
                      <w:szCs w:val="21"/>
                    </w:rPr>
                    <w:t>浓度限值/（mg/L）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Align w:val="center"/>
                </w:tcPr>
                <w:p>
                  <w:pPr>
                    <w:snapToGrid w:val="0"/>
                    <w:jc w:val="center"/>
                    <w:rPr>
                      <w:color w:val="000000"/>
                      <w:szCs w:val="21"/>
                    </w:rPr>
                  </w:pPr>
                  <w:r>
                    <w:rPr>
                      <w:color w:val="000000"/>
                      <w:szCs w:val="21"/>
                    </w:rPr>
                    <w:t>1</w:t>
                  </w:r>
                </w:p>
              </w:tc>
              <w:tc>
                <w:tcPr>
                  <w:tcW w:w="938" w:type="dxa"/>
                  <w:vMerge w:val="restart"/>
                  <w:vAlign w:val="center"/>
                </w:tcPr>
                <w:p>
                  <w:pPr>
                    <w:snapToGrid w:val="0"/>
                    <w:jc w:val="center"/>
                    <w:rPr>
                      <w:color w:val="000000"/>
                      <w:szCs w:val="21"/>
                    </w:rPr>
                  </w:pPr>
                  <w:r>
                    <w:rPr>
                      <w:color w:val="000000"/>
                      <w:szCs w:val="21"/>
                    </w:rPr>
                    <w:t>DW001</w:t>
                  </w:r>
                </w:p>
              </w:tc>
              <w:tc>
                <w:tcPr>
                  <w:tcW w:w="992" w:type="dxa"/>
                  <w:vAlign w:val="center"/>
                </w:tcPr>
                <w:p>
                  <w:pPr>
                    <w:jc w:val="center"/>
                    <w:rPr>
                      <w:color w:val="000000"/>
                      <w:szCs w:val="21"/>
                    </w:rPr>
                  </w:pPr>
                  <w:r>
                    <w:rPr>
                      <w:bCs/>
                      <w:color w:val="000000"/>
                      <w:spacing w:val="-4"/>
                      <w:szCs w:val="21"/>
                    </w:rPr>
                    <w:t>COD</w:t>
                  </w:r>
                </w:p>
              </w:tc>
              <w:tc>
                <w:tcPr>
                  <w:tcW w:w="3402" w:type="dxa"/>
                  <w:vMerge w:val="restart"/>
                  <w:vAlign w:val="center"/>
                </w:tcPr>
                <w:p>
                  <w:pPr>
                    <w:snapToGrid w:val="0"/>
                    <w:jc w:val="center"/>
                    <w:rPr>
                      <w:color w:val="000000"/>
                      <w:szCs w:val="21"/>
                    </w:rPr>
                  </w:pPr>
                  <w:r>
                    <w:rPr>
                      <w:szCs w:val="21"/>
                    </w:rPr>
                    <w:t>获嘉县亢村</w:t>
                  </w:r>
                  <w:r>
                    <w:rPr>
                      <w:bCs/>
                      <w:color w:val="000000"/>
                      <w:szCs w:val="21"/>
                    </w:rPr>
                    <w:t>污水处理厂收水标准</w:t>
                  </w:r>
                </w:p>
              </w:tc>
              <w:tc>
                <w:tcPr>
                  <w:tcW w:w="1967" w:type="dxa"/>
                  <w:vAlign w:val="center"/>
                </w:tcPr>
                <w:p>
                  <w:pPr>
                    <w:snapToGrid w:val="0"/>
                    <w:jc w:val="center"/>
                    <w:rPr>
                      <w:color w:val="000000"/>
                      <w:szCs w:val="21"/>
                    </w:rPr>
                  </w:pPr>
                  <w:r>
                    <w:rPr>
                      <w:color w:val="000000"/>
                      <w:szCs w:val="21"/>
                    </w:rPr>
                    <w:t>350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Align w:val="center"/>
                </w:tcPr>
                <w:p>
                  <w:pPr>
                    <w:snapToGrid w:val="0"/>
                    <w:jc w:val="center"/>
                    <w:rPr>
                      <w:color w:val="000000"/>
                      <w:szCs w:val="21"/>
                    </w:rPr>
                  </w:pPr>
                  <w:r>
                    <w:rPr>
                      <w:color w:val="000000"/>
                      <w:szCs w:val="21"/>
                    </w:rPr>
                    <w:t>2</w:t>
                  </w:r>
                </w:p>
              </w:tc>
              <w:tc>
                <w:tcPr>
                  <w:tcW w:w="938" w:type="dxa"/>
                  <w:vMerge w:val="continue"/>
                  <w:vAlign w:val="center"/>
                </w:tcPr>
                <w:p>
                  <w:pPr>
                    <w:snapToGrid w:val="0"/>
                    <w:jc w:val="center"/>
                    <w:rPr>
                      <w:color w:val="000000"/>
                      <w:szCs w:val="21"/>
                      <w:highlight w:val="yellow"/>
                    </w:rPr>
                  </w:pPr>
                </w:p>
              </w:tc>
              <w:tc>
                <w:tcPr>
                  <w:tcW w:w="992" w:type="dxa"/>
                  <w:vAlign w:val="center"/>
                </w:tcPr>
                <w:p>
                  <w:pPr>
                    <w:jc w:val="center"/>
                    <w:rPr>
                      <w:bCs/>
                      <w:color w:val="000000"/>
                      <w:spacing w:val="-4"/>
                      <w:szCs w:val="21"/>
                    </w:rPr>
                  </w:pPr>
                  <w:r>
                    <w:rPr>
                      <w:bCs/>
                      <w:color w:val="000000"/>
                      <w:spacing w:val="-4"/>
                      <w:szCs w:val="21"/>
                    </w:rPr>
                    <w:t>SS</w:t>
                  </w:r>
                </w:p>
              </w:tc>
              <w:tc>
                <w:tcPr>
                  <w:tcW w:w="3402" w:type="dxa"/>
                  <w:vMerge w:val="continue"/>
                  <w:vAlign w:val="center"/>
                </w:tcPr>
                <w:p>
                  <w:pPr>
                    <w:snapToGrid w:val="0"/>
                    <w:jc w:val="center"/>
                    <w:rPr>
                      <w:color w:val="000000"/>
                      <w:szCs w:val="21"/>
                      <w:highlight w:val="yellow"/>
                    </w:rPr>
                  </w:pPr>
                </w:p>
              </w:tc>
              <w:tc>
                <w:tcPr>
                  <w:tcW w:w="1967" w:type="dxa"/>
                  <w:vAlign w:val="center"/>
                </w:tcPr>
                <w:p>
                  <w:pPr>
                    <w:snapToGrid w:val="0"/>
                    <w:jc w:val="center"/>
                    <w:rPr>
                      <w:color w:val="000000"/>
                      <w:szCs w:val="21"/>
                    </w:rPr>
                  </w:pPr>
                  <w:r>
                    <w:rPr>
                      <w:rFonts w:hint="eastAsia"/>
                      <w:color w:val="000000"/>
                      <w:szCs w:val="21"/>
                    </w:rPr>
                    <w:t>2</w:t>
                  </w:r>
                  <w:r>
                    <w:rPr>
                      <w:color w:val="000000"/>
                      <w:szCs w:val="21"/>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Align w:val="center"/>
                </w:tcPr>
                <w:p>
                  <w:pPr>
                    <w:snapToGrid w:val="0"/>
                    <w:jc w:val="center"/>
                    <w:rPr>
                      <w:color w:val="000000"/>
                      <w:szCs w:val="21"/>
                    </w:rPr>
                  </w:pPr>
                  <w:r>
                    <w:rPr>
                      <w:color w:val="000000"/>
                      <w:szCs w:val="21"/>
                    </w:rPr>
                    <w:t>3</w:t>
                  </w:r>
                </w:p>
              </w:tc>
              <w:tc>
                <w:tcPr>
                  <w:tcW w:w="938" w:type="dxa"/>
                  <w:vMerge w:val="continue"/>
                  <w:vAlign w:val="center"/>
                </w:tcPr>
                <w:p>
                  <w:pPr>
                    <w:snapToGrid w:val="0"/>
                    <w:jc w:val="center"/>
                    <w:rPr>
                      <w:color w:val="000000"/>
                      <w:szCs w:val="21"/>
                      <w:highlight w:val="yellow"/>
                    </w:rPr>
                  </w:pPr>
                </w:p>
              </w:tc>
              <w:tc>
                <w:tcPr>
                  <w:tcW w:w="992" w:type="dxa"/>
                  <w:vAlign w:val="center"/>
                </w:tcPr>
                <w:p>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3402" w:type="dxa"/>
                  <w:vMerge w:val="continue"/>
                  <w:vAlign w:val="center"/>
                </w:tcPr>
                <w:p>
                  <w:pPr>
                    <w:snapToGrid w:val="0"/>
                    <w:jc w:val="center"/>
                    <w:rPr>
                      <w:color w:val="000000"/>
                      <w:szCs w:val="21"/>
                      <w:highlight w:val="yellow"/>
                    </w:rPr>
                  </w:pPr>
                </w:p>
              </w:tc>
              <w:tc>
                <w:tcPr>
                  <w:tcW w:w="1967" w:type="dxa"/>
                  <w:vAlign w:val="center"/>
                </w:tcPr>
                <w:p>
                  <w:pPr>
                    <w:snapToGrid w:val="0"/>
                    <w:jc w:val="center"/>
                    <w:rPr>
                      <w:color w:val="000000"/>
                      <w:szCs w:val="21"/>
                    </w:rPr>
                  </w:pPr>
                  <w:r>
                    <w:rPr>
                      <w:rFonts w:hint="eastAsia"/>
                      <w:color w:val="000000"/>
                      <w:szCs w:val="21"/>
                    </w:rPr>
                    <w:t>4</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Align w:val="center"/>
                </w:tcPr>
                <w:p>
                  <w:pPr>
                    <w:snapToGrid w:val="0"/>
                    <w:jc w:val="center"/>
                    <w:rPr>
                      <w:color w:val="000000"/>
                      <w:szCs w:val="21"/>
                    </w:rPr>
                  </w:pPr>
                  <w:r>
                    <w:rPr>
                      <w:color w:val="000000"/>
                      <w:szCs w:val="21"/>
                    </w:rPr>
                    <w:t>4</w:t>
                  </w:r>
                </w:p>
              </w:tc>
              <w:tc>
                <w:tcPr>
                  <w:tcW w:w="938" w:type="dxa"/>
                  <w:vMerge w:val="continue"/>
                  <w:vAlign w:val="center"/>
                </w:tcPr>
                <w:p>
                  <w:pPr>
                    <w:snapToGrid w:val="0"/>
                    <w:jc w:val="center"/>
                    <w:rPr>
                      <w:color w:val="000000"/>
                      <w:szCs w:val="21"/>
                      <w:highlight w:val="yellow"/>
                    </w:rPr>
                  </w:pPr>
                </w:p>
              </w:tc>
              <w:tc>
                <w:tcPr>
                  <w:tcW w:w="992" w:type="dxa"/>
                  <w:vAlign w:val="center"/>
                </w:tcPr>
                <w:p>
                  <w:pPr>
                    <w:jc w:val="center"/>
                    <w:rPr>
                      <w:bCs/>
                      <w:color w:val="000000"/>
                      <w:spacing w:val="-4"/>
                      <w:szCs w:val="21"/>
                    </w:rPr>
                  </w:pPr>
                  <w:r>
                    <w:rPr>
                      <w:bCs/>
                      <w:color w:val="000000"/>
                      <w:spacing w:val="-4"/>
                      <w:szCs w:val="21"/>
                    </w:rPr>
                    <w:t>TP</w:t>
                  </w:r>
                </w:p>
              </w:tc>
              <w:tc>
                <w:tcPr>
                  <w:tcW w:w="3402" w:type="dxa"/>
                  <w:vMerge w:val="continue"/>
                  <w:vAlign w:val="center"/>
                </w:tcPr>
                <w:p>
                  <w:pPr>
                    <w:snapToGrid w:val="0"/>
                    <w:jc w:val="center"/>
                    <w:rPr>
                      <w:color w:val="000000"/>
                      <w:szCs w:val="21"/>
                      <w:highlight w:val="yellow"/>
                    </w:rPr>
                  </w:pPr>
                </w:p>
              </w:tc>
              <w:tc>
                <w:tcPr>
                  <w:tcW w:w="1967" w:type="dxa"/>
                  <w:vAlign w:val="center"/>
                </w:tcPr>
                <w:p>
                  <w:pPr>
                    <w:snapToGrid w:val="0"/>
                    <w:jc w:val="center"/>
                    <w:rPr>
                      <w:color w:val="000000"/>
                      <w:szCs w:val="21"/>
                    </w:rPr>
                  </w:pPr>
                  <w:r>
                    <w:rPr>
                      <w:rFonts w:hint="eastAsia"/>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7" w:type="dxa"/>
                  <w:vAlign w:val="center"/>
                </w:tcPr>
                <w:p>
                  <w:pPr>
                    <w:snapToGrid w:val="0"/>
                    <w:jc w:val="center"/>
                    <w:rPr>
                      <w:color w:val="000000"/>
                      <w:szCs w:val="21"/>
                    </w:rPr>
                  </w:pPr>
                  <w:r>
                    <w:rPr>
                      <w:color w:val="000000"/>
                      <w:szCs w:val="21"/>
                    </w:rPr>
                    <w:t>5</w:t>
                  </w:r>
                </w:p>
              </w:tc>
              <w:tc>
                <w:tcPr>
                  <w:tcW w:w="938" w:type="dxa"/>
                  <w:vMerge w:val="continue"/>
                  <w:vAlign w:val="center"/>
                </w:tcPr>
                <w:p>
                  <w:pPr>
                    <w:snapToGrid w:val="0"/>
                    <w:jc w:val="center"/>
                    <w:rPr>
                      <w:color w:val="000000"/>
                      <w:szCs w:val="21"/>
                      <w:highlight w:val="yellow"/>
                    </w:rPr>
                  </w:pPr>
                </w:p>
              </w:tc>
              <w:tc>
                <w:tcPr>
                  <w:tcW w:w="992" w:type="dxa"/>
                  <w:vAlign w:val="center"/>
                </w:tcPr>
                <w:p>
                  <w:pPr>
                    <w:jc w:val="center"/>
                    <w:rPr>
                      <w:bCs/>
                      <w:color w:val="000000"/>
                      <w:spacing w:val="-4"/>
                      <w:szCs w:val="21"/>
                    </w:rPr>
                  </w:pPr>
                  <w:r>
                    <w:rPr>
                      <w:bCs/>
                      <w:color w:val="000000"/>
                      <w:spacing w:val="-4"/>
                      <w:szCs w:val="21"/>
                    </w:rPr>
                    <w:t>TN</w:t>
                  </w:r>
                </w:p>
              </w:tc>
              <w:tc>
                <w:tcPr>
                  <w:tcW w:w="3402" w:type="dxa"/>
                  <w:vMerge w:val="continue"/>
                  <w:vAlign w:val="center"/>
                </w:tcPr>
                <w:p>
                  <w:pPr>
                    <w:snapToGrid w:val="0"/>
                    <w:jc w:val="center"/>
                    <w:rPr>
                      <w:color w:val="000000"/>
                      <w:szCs w:val="21"/>
                      <w:highlight w:val="yellow"/>
                    </w:rPr>
                  </w:pPr>
                </w:p>
              </w:tc>
              <w:tc>
                <w:tcPr>
                  <w:tcW w:w="1967" w:type="dxa"/>
                  <w:vAlign w:val="center"/>
                </w:tcPr>
                <w:p>
                  <w:pPr>
                    <w:snapToGrid w:val="0"/>
                    <w:jc w:val="center"/>
                    <w:rPr>
                      <w:color w:val="000000"/>
                      <w:szCs w:val="21"/>
                    </w:rPr>
                  </w:pPr>
                  <w:r>
                    <w:rPr>
                      <w:rFonts w:hint="eastAsia"/>
                      <w:color w:val="000000"/>
                      <w:szCs w:val="21"/>
                    </w:rPr>
                    <w:t>5</w:t>
                  </w:r>
                  <w:r>
                    <w:rPr>
                      <w:color w:val="000000"/>
                      <w:szCs w:val="21"/>
                    </w:rPr>
                    <w:t>0</w:t>
                  </w:r>
                </w:p>
              </w:tc>
            </w:tr>
          </w:tbl>
          <w:p>
            <w:pPr>
              <w:adjustRightInd w:val="0"/>
              <w:snapToGrid w:val="0"/>
              <w:spacing w:line="460" w:lineRule="exact"/>
              <w:ind w:firstLine="480" w:firstLineChars="200"/>
              <w:rPr>
                <w:color w:val="000000"/>
                <w:sz w:val="24"/>
              </w:rPr>
            </w:pPr>
            <w:r>
              <w:rPr>
                <w:rFonts w:hint="eastAsia"/>
                <w:color w:val="000000"/>
                <w:sz w:val="24"/>
              </w:rPr>
              <w:t>④</w:t>
            </w:r>
            <w:r>
              <w:rPr>
                <w:color w:val="000000"/>
                <w:sz w:val="24"/>
              </w:rPr>
              <w:t>废水污染物排放信息表</w:t>
            </w:r>
          </w:p>
          <w:p>
            <w:pPr>
              <w:adjustRightInd w:val="0"/>
              <w:snapToGrid w:val="0"/>
              <w:spacing w:line="460" w:lineRule="exact"/>
              <w:ind w:firstLine="480" w:firstLineChars="200"/>
              <w:rPr>
                <w:rFonts w:eastAsia="黑体"/>
                <w:color w:val="000000"/>
                <w:sz w:val="24"/>
              </w:rPr>
            </w:pPr>
            <w:r>
              <w:rPr>
                <w:rFonts w:eastAsia="黑体"/>
                <w:color w:val="000000"/>
                <w:sz w:val="24"/>
                <w:lang w:val="pt-BR"/>
              </w:rPr>
              <w:t>表</w:t>
            </w:r>
            <w:r>
              <w:rPr>
                <w:rFonts w:eastAsia="黑体"/>
                <w:color w:val="000000"/>
                <w:sz w:val="24"/>
              </w:rPr>
              <w:t xml:space="preserve">25            </w:t>
            </w:r>
            <w:r>
              <w:rPr>
                <w:rFonts w:eastAsia="黑体"/>
                <w:color w:val="000000"/>
                <w:sz w:val="24"/>
                <w:lang w:val="pt-BR"/>
              </w:rPr>
              <w:t>废水污染物排放信息表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96"/>
              <w:gridCol w:w="1297"/>
              <w:gridCol w:w="1435"/>
              <w:gridCol w:w="1717"/>
              <w:gridCol w:w="143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op w:val="single" w:color="auto" w:sz="8" w:space="0"/>
                    <w:bottom w:val="single" w:color="auto" w:sz="4" w:space="0"/>
                    <w:right w:val="single" w:color="auto" w:sz="4" w:space="0"/>
                  </w:tcBorders>
                  <w:vAlign w:val="center"/>
                </w:tcPr>
                <w:p>
                  <w:pPr>
                    <w:jc w:val="center"/>
                    <w:rPr>
                      <w:b/>
                      <w:color w:val="000000"/>
                      <w:szCs w:val="21"/>
                    </w:rPr>
                  </w:pPr>
                  <w:r>
                    <w:rPr>
                      <w:b/>
                      <w:color w:val="000000"/>
                      <w:szCs w:val="21"/>
                    </w:rPr>
                    <w:t>序号</w:t>
                  </w:r>
                </w:p>
              </w:tc>
              <w:tc>
                <w:tcPr>
                  <w:tcW w:w="1471"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排放口编号</w:t>
                  </w:r>
                </w:p>
              </w:tc>
              <w:tc>
                <w:tcPr>
                  <w:tcW w:w="1473"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污染物种类</w:t>
                  </w:r>
                </w:p>
              </w:tc>
              <w:tc>
                <w:tcPr>
                  <w:tcW w:w="1634"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排放浓度</w:t>
                  </w:r>
                </w:p>
                <w:p>
                  <w:pPr>
                    <w:jc w:val="center"/>
                    <w:rPr>
                      <w:b/>
                      <w:color w:val="000000"/>
                      <w:szCs w:val="21"/>
                    </w:rPr>
                  </w:pPr>
                  <w:r>
                    <w:rPr>
                      <w:b/>
                      <w:color w:val="000000"/>
                      <w:szCs w:val="21"/>
                    </w:rPr>
                    <w:t>/（mg/L）</w:t>
                  </w:r>
                </w:p>
              </w:tc>
              <w:tc>
                <w:tcPr>
                  <w:tcW w:w="1962"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日排放量</w:t>
                  </w:r>
                </w:p>
                <w:p>
                  <w:pPr>
                    <w:jc w:val="center"/>
                    <w:rPr>
                      <w:b/>
                      <w:color w:val="000000"/>
                      <w:szCs w:val="21"/>
                    </w:rPr>
                  </w:pPr>
                  <w:r>
                    <w:rPr>
                      <w:b/>
                      <w:color w:val="000000"/>
                      <w:szCs w:val="21"/>
                    </w:rPr>
                    <w:t>/（kg/d）</w:t>
                  </w:r>
                </w:p>
              </w:tc>
              <w:tc>
                <w:tcPr>
                  <w:tcW w:w="1632" w:type="dxa"/>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年排放量</w:t>
                  </w:r>
                </w:p>
                <w:p>
                  <w:pPr>
                    <w:jc w:val="center"/>
                    <w:rPr>
                      <w:b/>
                      <w:color w:val="000000"/>
                      <w:szCs w:val="21"/>
                    </w:rPr>
                  </w:pPr>
                  <w:r>
                    <w:rPr>
                      <w:b/>
                      <w:color w:val="000000"/>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DW001</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COD</w:t>
                  </w:r>
                </w:p>
              </w:tc>
              <w:tc>
                <w:tcPr>
                  <w:tcW w:w="1634"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2</w:t>
                  </w:r>
                  <w:r>
                    <w:rPr>
                      <w:color w:val="000000"/>
                      <w:szCs w:val="21"/>
                    </w:rPr>
                    <w:t>50</w:t>
                  </w:r>
                </w:p>
              </w:tc>
              <w:tc>
                <w:tcPr>
                  <w:tcW w:w="196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.16</w:t>
                  </w:r>
                </w:p>
              </w:tc>
              <w:tc>
                <w:tcPr>
                  <w:tcW w:w="1632" w:type="dxa"/>
                  <w:tcBorders>
                    <w:top w:val="single" w:color="auto" w:sz="4" w:space="0"/>
                    <w:left w:val="single" w:color="auto" w:sz="4" w:space="0"/>
                    <w:bottom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2</w:t>
                  </w:r>
                </w:p>
              </w:tc>
              <w:tc>
                <w:tcPr>
                  <w:tcW w:w="1471"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634"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2</w:t>
                  </w:r>
                  <w:r>
                    <w:rPr>
                      <w:color w:val="000000"/>
                      <w:szCs w:val="21"/>
                    </w:rPr>
                    <w:t>5</w:t>
                  </w:r>
                </w:p>
              </w:tc>
              <w:tc>
                <w:tcPr>
                  <w:tcW w:w="196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.016</w:t>
                  </w:r>
                </w:p>
              </w:tc>
              <w:tc>
                <w:tcPr>
                  <w:tcW w:w="1632" w:type="dxa"/>
                  <w:tcBorders>
                    <w:top w:val="single" w:color="auto" w:sz="4" w:space="0"/>
                    <w:left w:val="single" w:color="auto" w:sz="4" w:space="0"/>
                    <w:bottom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3</w:t>
                  </w:r>
                </w:p>
              </w:tc>
              <w:tc>
                <w:tcPr>
                  <w:tcW w:w="1471"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bCs/>
                      <w:color w:val="000000"/>
                      <w:spacing w:val="-4"/>
                      <w:szCs w:val="21"/>
                    </w:rPr>
                    <w:t>TP</w:t>
                  </w:r>
                </w:p>
              </w:tc>
              <w:tc>
                <w:tcPr>
                  <w:tcW w:w="1634"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p>
              </w:tc>
              <w:tc>
                <w:tcPr>
                  <w:tcW w:w="196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.0019</w:t>
                  </w:r>
                </w:p>
              </w:tc>
              <w:tc>
                <w:tcPr>
                  <w:tcW w:w="1632" w:type="dxa"/>
                  <w:tcBorders>
                    <w:top w:val="single" w:color="auto" w:sz="4" w:space="0"/>
                    <w:left w:val="single" w:color="auto" w:sz="4" w:space="0"/>
                    <w:bottom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op w:val="single" w:color="auto" w:sz="4" w:space="0"/>
                    <w:bottom w:val="single" w:color="auto" w:sz="8" w:space="0"/>
                    <w:right w:val="single" w:color="auto" w:sz="4" w:space="0"/>
                  </w:tcBorders>
                  <w:vAlign w:val="center"/>
                </w:tcPr>
                <w:p>
                  <w:pPr>
                    <w:snapToGrid w:val="0"/>
                    <w:jc w:val="center"/>
                    <w:rPr>
                      <w:color w:val="000000"/>
                      <w:szCs w:val="21"/>
                    </w:rPr>
                  </w:pPr>
                  <w:r>
                    <w:rPr>
                      <w:color w:val="000000"/>
                      <w:szCs w:val="21"/>
                    </w:rPr>
                    <w:t>4</w:t>
                  </w:r>
                </w:p>
              </w:tc>
              <w:tc>
                <w:tcPr>
                  <w:tcW w:w="1471" w:type="dxa"/>
                  <w:vMerge w:val="continue"/>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Cs w:val="21"/>
                    </w:rPr>
                  </w:pPr>
                </w:p>
              </w:tc>
              <w:tc>
                <w:tcPr>
                  <w:tcW w:w="1473" w:type="dxa"/>
                  <w:tcBorders>
                    <w:top w:val="single" w:color="auto" w:sz="4" w:space="0"/>
                    <w:left w:val="single" w:color="auto" w:sz="4" w:space="0"/>
                    <w:bottom w:val="single" w:color="auto" w:sz="8" w:space="0"/>
                    <w:right w:val="single" w:color="auto" w:sz="4" w:space="0"/>
                  </w:tcBorders>
                  <w:vAlign w:val="center"/>
                </w:tcPr>
                <w:p>
                  <w:pPr>
                    <w:jc w:val="center"/>
                    <w:rPr>
                      <w:color w:val="000000"/>
                      <w:szCs w:val="21"/>
                    </w:rPr>
                  </w:pPr>
                  <w:r>
                    <w:rPr>
                      <w:bCs/>
                      <w:color w:val="000000"/>
                      <w:spacing w:val="-4"/>
                      <w:szCs w:val="21"/>
                    </w:rPr>
                    <w:t>TN</w:t>
                  </w:r>
                </w:p>
              </w:tc>
              <w:tc>
                <w:tcPr>
                  <w:tcW w:w="1634"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Cs w:val="21"/>
                    </w:rPr>
                  </w:pPr>
                  <w:r>
                    <w:rPr>
                      <w:rFonts w:hint="eastAsia"/>
                      <w:color w:val="000000"/>
                      <w:szCs w:val="21"/>
                    </w:rPr>
                    <w:t>3</w:t>
                  </w:r>
                  <w:r>
                    <w:rPr>
                      <w:color w:val="000000"/>
                      <w:szCs w:val="21"/>
                    </w:rPr>
                    <w:t>0</w:t>
                  </w:r>
                </w:p>
              </w:tc>
              <w:tc>
                <w:tcPr>
                  <w:tcW w:w="1962"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.0192</w:t>
                  </w:r>
                </w:p>
              </w:tc>
              <w:tc>
                <w:tcPr>
                  <w:tcW w:w="1632" w:type="dxa"/>
                  <w:tcBorders>
                    <w:top w:val="single" w:color="auto" w:sz="4" w:space="0"/>
                    <w:left w:val="single" w:color="auto" w:sz="4" w:space="0"/>
                    <w:bottom w:val="single" w:color="auto" w:sz="8" w:space="0"/>
                  </w:tcBorders>
                  <w:vAlign w:val="center"/>
                </w:tcPr>
                <w:p>
                  <w:pPr>
                    <w:snapToGrid w:val="0"/>
                    <w:jc w:val="center"/>
                    <w:rPr>
                      <w:color w:val="000000"/>
                      <w:szCs w:val="21"/>
                    </w:rPr>
                  </w:pPr>
                  <w:r>
                    <w:rPr>
                      <w:rFonts w:hint="eastAsia"/>
                      <w:color w:val="000000"/>
                      <w:szCs w:val="21"/>
                    </w:rPr>
                    <w:t>0</w:t>
                  </w:r>
                  <w:r>
                    <w:rPr>
                      <w:color w:val="000000"/>
                      <w:szCs w:val="21"/>
                    </w:rPr>
                    <w:t>.0048</w:t>
                  </w:r>
                </w:p>
              </w:tc>
            </w:tr>
          </w:tbl>
          <w:p>
            <w:pPr>
              <w:adjustRightInd w:val="0"/>
              <w:snapToGrid w:val="0"/>
              <w:spacing w:line="460" w:lineRule="exact"/>
              <w:ind w:firstLine="480" w:firstLineChars="200"/>
              <w:rPr>
                <w:color w:val="000000"/>
                <w:sz w:val="24"/>
              </w:rPr>
            </w:pPr>
            <w:r>
              <w:rPr>
                <w:color w:val="000000"/>
                <w:sz w:val="24"/>
              </w:rPr>
              <w:t>由上表可知，本项目废水污染物出厂排放总量：COD 0.04t/a、NH</w:t>
            </w:r>
            <w:r>
              <w:rPr>
                <w:color w:val="000000"/>
                <w:sz w:val="24"/>
                <w:vertAlign w:val="subscript"/>
              </w:rPr>
              <w:t>3</w:t>
            </w:r>
            <w:r>
              <w:rPr>
                <w:color w:val="000000"/>
                <w:sz w:val="24"/>
              </w:rPr>
              <w:t>-N 0.004t/a、TP 0.0005t/a、TN 0.0048t/a，经</w:t>
            </w:r>
            <w:r>
              <w:rPr>
                <w:rFonts w:hint="eastAsia"/>
                <w:bCs/>
                <w:color w:val="000000"/>
                <w:sz w:val="24"/>
              </w:rPr>
              <w:t>获嘉县亢村</w:t>
            </w:r>
            <w:r>
              <w:rPr>
                <w:bCs/>
                <w:color w:val="000000"/>
                <w:sz w:val="24"/>
              </w:rPr>
              <w:t>污水处理厂</w:t>
            </w:r>
            <w:r>
              <w:rPr>
                <w:color w:val="000000"/>
                <w:sz w:val="24"/>
              </w:rPr>
              <w:t>处理后废水污染物排放总量：COD 0.0064t/a、NH</w:t>
            </w:r>
            <w:r>
              <w:rPr>
                <w:color w:val="000000"/>
                <w:sz w:val="24"/>
                <w:vertAlign w:val="subscript"/>
              </w:rPr>
              <w:t>3</w:t>
            </w:r>
            <w:r>
              <w:rPr>
                <w:color w:val="000000"/>
                <w:sz w:val="24"/>
              </w:rPr>
              <w:t>-N 0.0003t/a、TP 0.0001t/a、TN 0.0024t/a。</w:t>
            </w:r>
          </w:p>
          <w:p>
            <w:pPr>
              <w:spacing w:line="460" w:lineRule="exact"/>
              <w:ind w:firstLine="482" w:firstLineChars="200"/>
              <w:rPr>
                <w:b/>
                <w:sz w:val="24"/>
              </w:rPr>
            </w:pPr>
            <w:r>
              <w:rPr>
                <w:rFonts w:hint="eastAsia"/>
                <w:b/>
                <w:color w:val="000000"/>
                <w:sz w:val="24"/>
              </w:rPr>
              <w:t>4</w:t>
            </w:r>
            <w:r>
              <w:rPr>
                <w:b/>
                <w:color w:val="000000"/>
                <w:sz w:val="24"/>
              </w:rPr>
              <w:t>、</w:t>
            </w:r>
            <w:r>
              <w:rPr>
                <w:b/>
                <w:sz w:val="24"/>
              </w:rPr>
              <w:t>全厂</w:t>
            </w:r>
            <w:r>
              <w:rPr>
                <w:rFonts w:hint="eastAsia"/>
                <w:b/>
                <w:sz w:val="24"/>
              </w:rPr>
              <w:t>废水</w:t>
            </w:r>
            <w:r>
              <w:rPr>
                <w:b/>
                <w:sz w:val="24"/>
              </w:rPr>
              <w:t>污染物排放</w:t>
            </w:r>
            <w:r>
              <w:rPr>
                <w:rFonts w:ascii="宋体" w:hAnsi="宋体"/>
                <w:b/>
                <w:sz w:val="24"/>
              </w:rPr>
              <w:t>“三笔账”</w:t>
            </w:r>
            <w:r>
              <w:rPr>
                <w:b/>
                <w:sz w:val="24"/>
              </w:rPr>
              <w:t>情况</w:t>
            </w:r>
          </w:p>
          <w:p>
            <w:pPr>
              <w:adjustRightInd w:val="0"/>
              <w:snapToGrid w:val="0"/>
              <w:spacing w:line="460" w:lineRule="exact"/>
              <w:ind w:firstLine="480" w:firstLineChars="200"/>
              <w:rPr>
                <w:rFonts w:eastAsia="黑体"/>
                <w:kern w:val="0"/>
                <w:sz w:val="24"/>
              </w:rPr>
            </w:pPr>
            <w:r>
              <w:rPr>
                <w:rFonts w:eastAsia="黑体"/>
                <w:kern w:val="0"/>
                <w:sz w:val="24"/>
              </w:rPr>
              <w:t>表</w:t>
            </w:r>
            <w:r>
              <w:rPr>
                <w:rFonts w:hint="eastAsia" w:eastAsia="黑体"/>
                <w:kern w:val="0"/>
                <w:sz w:val="24"/>
              </w:rPr>
              <w:t>2</w:t>
            </w:r>
            <w:r>
              <w:rPr>
                <w:rFonts w:eastAsia="黑体"/>
                <w:kern w:val="0"/>
                <w:sz w:val="24"/>
              </w:rPr>
              <w:t xml:space="preserve">6       </w:t>
            </w:r>
            <w:r>
              <w:rPr>
                <w:rFonts w:hint="eastAsia" w:eastAsia="黑体"/>
                <w:kern w:val="0"/>
                <w:sz w:val="24"/>
              </w:rPr>
              <w:t xml:space="preserve"> </w:t>
            </w:r>
            <w:r>
              <w:rPr>
                <w:rFonts w:eastAsia="黑体"/>
                <w:kern w:val="0"/>
                <w:sz w:val="24"/>
              </w:rPr>
              <w:t xml:space="preserve">   全厂污染物排放</w:t>
            </w:r>
            <w:r>
              <w:rPr>
                <w:rFonts w:ascii="黑体" w:hAnsi="黑体" w:eastAsia="黑体"/>
                <w:kern w:val="0"/>
                <w:sz w:val="24"/>
              </w:rPr>
              <w:t>“</w:t>
            </w:r>
            <w:r>
              <w:rPr>
                <w:rFonts w:hint="eastAsia" w:ascii="黑体" w:hAnsi="黑体" w:eastAsia="黑体"/>
                <w:kern w:val="0"/>
                <w:sz w:val="24"/>
              </w:rPr>
              <w:t>三笔账</w:t>
            </w:r>
            <w:r>
              <w:rPr>
                <w:rFonts w:ascii="黑体" w:hAnsi="黑体" w:eastAsia="黑体"/>
                <w:kern w:val="0"/>
                <w:sz w:val="24"/>
              </w:rPr>
              <w:t>”</w:t>
            </w:r>
            <w:r>
              <w:rPr>
                <w:rFonts w:eastAsia="黑体"/>
                <w:kern w:val="0"/>
                <w:sz w:val="24"/>
              </w:rPr>
              <w:t>一览表        单位：t/a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6"/>
              <w:gridCol w:w="1085"/>
              <w:gridCol w:w="1452"/>
              <w:gridCol w:w="1452"/>
              <w:gridCol w:w="1130"/>
              <w:gridCol w:w="1130"/>
              <w:gridCol w:w="99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791" w:type="dxa"/>
                  <w:gridSpan w:val="2"/>
                  <w:vMerge w:val="restart"/>
                  <w:vAlign w:val="center"/>
                </w:tcPr>
                <w:p>
                  <w:pPr>
                    <w:jc w:val="center"/>
                    <w:rPr>
                      <w:b/>
                      <w:kern w:val="0"/>
                      <w:szCs w:val="21"/>
                    </w:rPr>
                  </w:pPr>
                  <w:r>
                    <w:rPr>
                      <w:b/>
                      <w:kern w:val="0"/>
                      <w:szCs w:val="21"/>
                    </w:rPr>
                    <w:t>污染物</w:t>
                  </w:r>
                </w:p>
              </w:tc>
              <w:tc>
                <w:tcPr>
                  <w:tcW w:w="2904" w:type="dxa"/>
                  <w:gridSpan w:val="2"/>
                  <w:vAlign w:val="center"/>
                </w:tcPr>
                <w:p>
                  <w:pPr>
                    <w:widowControl/>
                    <w:jc w:val="center"/>
                    <w:rPr>
                      <w:b/>
                      <w:kern w:val="0"/>
                      <w:szCs w:val="21"/>
                    </w:rPr>
                  </w:pPr>
                  <w:r>
                    <w:rPr>
                      <w:rFonts w:hint="eastAsia"/>
                      <w:b/>
                      <w:kern w:val="0"/>
                      <w:szCs w:val="21"/>
                    </w:rPr>
                    <w:t>在建</w:t>
                  </w:r>
                  <w:r>
                    <w:rPr>
                      <w:b/>
                      <w:kern w:val="0"/>
                      <w:szCs w:val="21"/>
                    </w:rPr>
                    <w:t>工程</w:t>
                  </w:r>
                </w:p>
              </w:tc>
              <w:tc>
                <w:tcPr>
                  <w:tcW w:w="1130" w:type="dxa"/>
                  <w:vMerge w:val="restart"/>
                  <w:vAlign w:val="center"/>
                </w:tcPr>
                <w:p>
                  <w:pPr>
                    <w:widowControl/>
                    <w:jc w:val="center"/>
                    <w:rPr>
                      <w:b/>
                      <w:kern w:val="0"/>
                      <w:szCs w:val="21"/>
                    </w:rPr>
                  </w:pPr>
                  <w:r>
                    <w:rPr>
                      <w:b/>
                      <w:kern w:val="0"/>
                      <w:szCs w:val="21"/>
                    </w:rPr>
                    <w:t>本工程</w:t>
                  </w:r>
                </w:p>
                <w:p>
                  <w:pPr>
                    <w:jc w:val="center"/>
                    <w:rPr>
                      <w:b/>
                      <w:kern w:val="0"/>
                      <w:szCs w:val="21"/>
                    </w:rPr>
                  </w:pPr>
                  <w:r>
                    <w:rPr>
                      <w:b/>
                      <w:kern w:val="0"/>
                      <w:szCs w:val="21"/>
                    </w:rPr>
                    <w:t>排放量</w:t>
                  </w:r>
                </w:p>
              </w:tc>
              <w:tc>
                <w:tcPr>
                  <w:tcW w:w="1130" w:type="dxa"/>
                  <w:vMerge w:val="restart"/>
                  <w:vAlign w:val="center"/>
                </w:tcPr>
                <w:p>
                  <w:pPr>
                    <w:jc w:val="center"/>
                    <w:rPr>
                      <w:b/>
                      <w:color w:val="000000"/>
                      <w:kern w:val="0"/>
                      <w:szCs w:val="21"/>
                    </w:rPr>
                  </w:pPr>
                  <w:r>
                    <w:rPr>
                      <w:b/>
                      <w:color w:val="000000"/>
                      <w:kern w:val="0"/>
                      <w:szCs w:val="21"/>
                    </w:rPr>
                    <w:t>全厂排</w:t>
                  </w:r>
                </w:p>
                <w:p>
                  <w:pPr>
                    <w:jc w:val="center"/>
                    <w:rPr>
                      <w:b/>
                      <w:color w:val="000000"/>
                      <w:kern w:val="0"/>
                      <w:szCs w:val="21"/>
                    </w:rPr>
                  </w:pPr>
                  <w:r>
                    <w:rPr>
                      <w:b/>
                      <w:color w:val="000000"/>
                      <w:kern w:val="0"/>
                      <w:szCs w:val="21"/>
                    </w:rPr>
                    <w:t>放总量</w:t>
                  </w:r>
                </w:p>
              </w:tc>
              <w:tc>
                <w:tcPr>
                  <w:tcW w:w="991" w:type="dxa"/>
                  <w:vMerge w:val="restart"/>
                  <w:vAlign w:val="center"/>
                </w:tcPr>
                <w:p>
                  <w:pPr>
                    <w:jc w:val="center"/>
                    <w:rPr>
                      <w:b/>
                      <w:color w:val="000000"/>
                      <w:kern w:val="0"/>
                      <w:szCs w:val="21"/>
                    </w:rPr>
                  </w:pPr>
                  <w:r>
                    <w:rPr>
                      <w:rFonts w:hint="eastAsia"/>
                      <w:b/>
                      <w:color w:val="000000"/>
                      <w:kern w:val="0"/>
                      <w:szCs w:val="21"/>
                    </w:rPr>
                    <w:t>排放</w:t>
                  </w:r>
                </w:p>
                <w:p>
                  <w:pPr>
                    <w:jc w:val="center"/>
                    <w:rPr>
                      <w:b/>
                      <w:color w:val="000000"/>
                      <w:kern w:val="0"/>
                      <w:szCs w:val="21"/>
                    </w:rPr>
                  </w:pPr>
                  <w:r>
                    <w:rPr>
                      <w:b/>
                      <w:color w:val="000000"/>
                      <w:kern w:val="0"/>
                      <w:szCs w:val="21"/>
                    </w:rPr>
                    <w:t>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791" w:type="dxa"/>
                  <w:gridSpan w:val="2"/>
                  <w:vMerge w:val="continue"/>
                  <w:vAlign w:val="center"/>
                </w:tcPr>
                <w:p>
                  <w:pPr>
                    <w:widowControl/>
                    <w:jc w:val="center"/>
                    <w:rPr>
                      <w:b/>
                      <w:kern w:val="0"/>
                      <w:szCs w:val="21"/>
                    </w:rPr>
                  </w:pPr>
                </w:p>
              </w:tc>
              <w:tc>
                <w:tcPr>
                  <w:tcW w:w="1452" w:type="dxa"/>
                  <w:vAlign w:val="center"/>
                </w:tcPr>
                <w:p>
                  <w:pPr>
                    <w:widowControl/>
                    <w:jc w:val="center"/>
                    <w:rPr>
                      <w:b/>
                      <w:kern w:val="0"/>
                      <w:szCs w:val="21"/>
                    </w:rPr>
                  </w:pPr>
                  <w:r>
                    <w:rPr>
                      <w:b/>
                      <w:kern w:val="0"/>
                      <w:szCs w:val="21"/>
                    </w:rPr>
                    <w:t>允许排放量</w:t>
                  </w:r>
                </w:p>
              </w:tc>
              <w:tc>
                <w:tcPr>
                  <w:tcW w:w="1452" w:type="dxa"/>
                  <w:tcMar>
                    <w:left w:w="0" w:type="dxa"/>
                    <w:right w:w="0" w:type="dxa"/>
                  </w:tcMar>
                  <w:vAlign w:val="center"/>
                </w:tcPr>
                <w:p>
                  <w:pPr>
                    <w:widowControl/>
                    <w:jc w:val="center"/>
                    <w:rPr>
                      <w:b/>
                      <w:kern w:val="0"/>
                      <w:szCs w:val="21"/>
                    </w:rPr>
                  </w:pPr>
                  <w:r>
                    <w:rPr>
                      <w:b/>
                      <w:kern w:val="0"/>
                      <w:szCs w:val="21"/>
                    </w:rPr>
                    <w:t>实际排放量</w:t>
                  </w:r>
                </w:p>
              </w:tc>
              <w:tc>
                <w:tcPr>
                  <w:tcW w:w="1130" w:type="dxa"/>
                  <w:vMerge w:val="continue"/>
                  <w:vAlign w:val="center"/>
                </w:tcPr>
                <w:p>
                  <w:pPr>
                    <w:widowControl/>
                    <w:jc w:val="center"/>
                    <w:rPr>
                      <w:b/>
                      <w:kern w:val="0"/>
                      <w:szCs w:val="21"/>
                    </w:rPr>
                  </w:pPr>
                </w:p>
              </w:tc>
              <w:tc>
                <w:tcPr>
                  <w:tcW w:w="1130" w:type="dxa"/>
                  <w:vMerge w:val="continue"/>
                  <w:vAlign w:val="center"/>
                </w:tcPr>
                <w:p>
                  <w:pPr>
                    <w:widowControl/>
                    <w:jc w:val="center"/>
                    <w:rPr>
                      <w:b/>
                      <w:color w:val="FF0000"/>
                      <w:kern w:val="0"/>
                      <w:szCs w:val="21"/>
                    </w:rPr>
                  </w:pPr>
                </w:p>
              </w:tc>
              <w:tc>
                <w:tcPr>
                  <w:tcW w:w="991" w:type="dxa"/>
                  <w:vMerge w:val="continue"/>
                  <w:vAlign w:val="center"/>
                </w:tcPr>
                <w:p>
                  <w:pPr>
                    <w:widowControl/>
                    <w:jc w:val="center"/>
                    <w:rPr>
                      <w:b/>
                      <w:color w:val="FF0000"/>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restart"/>
                  <w:vAlign w:val="center"/>
                </w:tcPr>
                <w:p>
                  <w:pPr>
                    <w:widowControl/>
                    <w:jc w:val="center"/>
                    <w:rPr>
                      <w:kern w:val="0"/>
                      <w:szCs w:val="21"/>
                    </w:rPr>
                  </w:pPr>
                  <w:r>
                    <w:rPr>
                      <w:kern w:val="0"/>
                      <w:szCs w:val="21"/>
                    </w:rPr>
                    <w:t>废</w:t>
                  </w:r>
                  <w:r>
                    <w:rPr>
                      <w:rFonts w:hint="eastAsia"/>
                      <w:kern w:val="0"/>
                      <w:szCs w:val="21"/>
                    </w:rPr>
                    <w:t>水</w:t>
                  </w:r>
                </w:p>
              </w:tc>
              <w:tc>
                <w:tcPr>
                  <w:tcW w:w="1085" w:type="dxa"/>
                  <w:vAlign w:val="center"/>
                </w:tcPr>
                <w:p>
                  <w:pPr>
                    <w:jc w:val="center"/>
                    <w:rPr>
                      <w:szCs w:val="21"/>
                      <w:lang w:val="pt-BR"/>
                    </w:rPr>
                  </w:pPr>
                  <w:r>
                    <w:rPr>
                      <w:kern w:val="0"/>
                      <w:szCs w:val="21"/>
                    </w:rPr>
                    <w:t>水量(万</w:t>
                  </w:r>
                  <w:r>
                    <w:rPr>
                      <w:rFonts w:hint="eastAsia"/>
                      <w:kern w:val="0"/>
                      <w:szCs w:val="21"/>
                    </w:rPr>
                    <w:t>t</w:t>
                  </w:r>
                  <w:r>
                    <w:rPr>
                      <w:kern w:val="0"/>
                      <w:szCs w:val="21"/>
                    </w:rPr>
                    <w:t>/a)</w:t>
                  </w:r>
                </w:p>
              </w:tc>
              <w:tc>
                <w:tcPr>
                  <w:tcW w:w="1452" w:type="dxa"/>
                  <w:vAlign w:val="center"/>
                </w:tcPr>
                <w:p>
                  <w:pPr>
                    <w:pStyle w:val="48"/>
                    <w:rPr>
                      <w:color w:val="auto"/>
                      <w:kern w:val="2"/>
                    </w:rPr>
                  </w:pPr>
                  <w:r>
                    <w:rPr>
                      <w:rFonts w:hint="eastAsia"/>
                      <w:color w:val="auto"/>
                      <w:kern w:val="2"/>
                    </w:rPr>
                    <w:t>0</w:t>
                  </w:r>
                  <w:r>
                    <w:rPr>
                      <w:color w:val="auto"/>
                      <w:kern w:val="2"/>
                    </w:rPr>
                    <w:t>.06048</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rPr>
                    <w:t>0</w:t>
                  </w:r>
                  <w:r>
                    <w:t>.016</w:t>
                  </w:r>
                </w:p>
              </w:tc>
              <w:tc>
                <w:tcPr>
                  <w:tcW w:w="1130" w:type="dxa"/>
                  <w:vAlign w:val="center"/>
                </w:tcPr>
                <w:p>
                  <w:pPr>
                    <w:jc w:val="center"/>
                    <w:rPr>
                      <w:szCs w:val="21"/>
                    </w:rPr>
                  </w:pPr>
                  <w:r>
                    <w:rPr>
                      <w:rFonts w:hint="eastAsia"/>
                    </w:rPr>
                    <w:t>0</w:t>
                  </w:r>
                  <w:r>
                    <w:t>.016</w:t>
                  </w:r>
                </w:p>
              </w:tc>
              <w:tc>
                <w:tcPr>
                  <w:tcW w:w="991" w:type="dxa"/>
                  <w:vAlign w:val="center"/>
                </w:tcPr>
                <w:p>
                  <w:pPr>
                    <w:jc w:val="center"/>
                    <w:rPr>
                      <w:szCs w:val="21"/>
                    </w:rPr>
                  </w:pPr>
                  <w:r>
                    <w:t>+</w:t>
                  </w:r>
                  <w:r>
                    <w:rPr>
                      <w:rFonts w:hint="eastAsia"/>
                    </w:rPr>
                    <w:t>0</w:t>
                  </w:r>
                  <w:r>
                    <w:t>.016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continue"/>
                  <w:vAlign w:val="center"/>
                </w:tcPr>
                <w:p>
                  <w:pPr>
                    <w:widowControl/>
                    <w:jc w:val="center"/>
                    <w:rPr>
                      <w:kern w:val="0"/>
                      <w:szCs w:val="21"/>
                    </w:rPr>
                  </w:pPr>
                </w:p>
              </w:tc>
              <w:tc>
                <w:tcPr>
                  <w:tcW w:w="1085" w:type="dxa"/>
                  <w:vAlign w:val="center"/>
                </w:tcPr>
                <w:p>
                  <w:pPr>
                    <w:jc w:val="center"/>
                    <w:rPr>
                      <w:bCs/>
                      <w:color w:val="000000"/>
                      <w:spacing w:val="-4"/>
                      <w:szCs w:val="21"/>
                    </w:rPr>
                  </w:pPr>
                  <w:r>
                    <w:rPr>
                      <w:bCs/>
                      <w:color w:val="000000"/>
                      <w:spacing w:val="-4"/>
                      <w:szCs w:val="21"/>
                    </w:rPr>
                    <w:t>COD</w:t>
                  </w:r>
                </w:p>
              </w:tc>
              <w:tc>
                <w:tcPr>
                  <w:tcW w:w="1452" w:type="dxa"/>
                  <w:vAlign w:val="center"/>
                </w:tcPr>
                <w:p>
                  <w:pPr>
                    <w:pStyle w:val="48"/>
                  </w:pPr>
                  <w:r>
                    <w:rPr>
                      <w:rFonts w:hint="eastAsia"/>
                    </w:rPr>
                    <w:t>0</w:t>
                  </w:r>
                  <w:r>
                    <w:t>.0242</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szCs w:val="21"/>
                    </w:rPr>
                    <w:t>0</w:t>
                  </w:r>
                  <w:r>
                    <w:rPr>
                      <w:szCs w:val="21"/>
                    </w:rPr>
                    <w:t>.0064</w:t>
                  </w:r>
                </w:p>
              </w:tc>
              <w:tc>
                <w:tcPr>
                  <w:tcW w:w="1130" w:type="dxa"/>
                  <w:vAlign w:val="center"/>
                </w:tcPr>
                <w:p>
                  <w:pPr>
                    <w:jc w:val="center"/>
                    <w:rPr>
                      <w:szCs w:val="21"/>
                    </w:rPr>
                  </w:pPr>
                  <w:r>
                    <w:rPr>
                      <w:rFonts w:hint="eastAsia"/>
                      <w:szCs w:val="21"/>
                    </w:rPr>
                    <w:t>0</w:t>
                  </w:r>
                  <w:r>
                    <w:rPr>
                      <w:szCs w:val="21"/>
                    </w:rPr>
                    <w:t>.0064</w:t>
                  </w:r>
                </w:p>
              </w:tc>
              <w:tc>
                <w:tcPr>
                  <w:tcW w:w="991" w:type="dxa"/>
                  <w:vAlign w:val="center"/>
                </w:tcPr>
                <w:p>
                  <w:pPr>
                    <w:jc w:val="center"/>
                    <w:rPr>
                      <w:szCs w:val="21"/>
                    </w:rPr>
                  </w:pPr>
                  <w:r>
                    <w:rPr>
                      <w:szCs w:val="21"/>
                    </w:rPr>
                    <w:t>+</w:t>
                  </w:r>
                  <w:r>
                    <w:rPr>
                      <w:rFonts w:hint="eastAsia"/>
                      <w:szCs w:val="21"/>
                    </w:rPr>
                    <w:t>0</w:t>
                  </w:r>
                  <w:r>
                    <w:rPr>
                      <w:szCs w:val="21"/>
                    </w:rPr>
                    <w:t>.0064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continue"/>
                  <w:vAlign w:val="center"/>
                </w:tcPr>
                <w:p>
                  <w:pPr>
                    <w:widowControl/>
                    <w:jc w:val="center"/>
                    <w:rPr>
                      <w:kern w:val="0"/>
                      <w:szCs w:val="21"/>
                    </w:rPr>
                  </w:pPr>
                </w:p>
              </w:tc>
              <w:tc>
                <w:tcPr>
                  <w:tcW w:w="1085" w:type="dxa"/>
                  <w:vAlign w:val="center"/>
                </w:tcPr>
                <w:p>
                  <w:pPr>
                    <w:jc w:val="center"/>
                    <w:rPr>
                      <w:szCs w:val="21"/>
                      <w:lang w:val="pt-BR"/>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452" w:type="dxa"/>
                  <w:vAlign w:val="center"/>
                </w:tcPr>
                <w:p>
                  <w:pPr>
                    <w:pStyle w:val="48"/>
                    <w:rPr>
                      <w:color w:val="auto"/>
                      <w:kern w:val="2"/>
                    </w:rPr>
                  </w:pPr>
                  <w:r>
                    <w:rPr>
                      <w:rFonts w:hint="eastAsia"/>
                    </w:rPr>
                    <w:t>0</w:t>
                  </w:r>
                  <w:r>
                    <w:t>.0012</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szCs w:val="21"/>
                    </w:rPr>
                    <w:t>0</w:t>
                  </w:r>
                  <w:r>
                    <w:rPr>
                      <w:szCs w:val="21"/>
                    </w:rPr>
                    <w:t>.0003</w:t>
                  </w:r>
                </w:p>
              </w:tc>
              <w:tc>
                <w:tcPr>
                  <w:tcW w:w="1130" w:type="dxa"/>
                  <w:vAlign w:val="center"/>
                </w:tcPr>
                <w:p>
                  <w:pPr>
                    <w:jc w:val="center"/>
                    <w:rPr>
                      <w:szCs w:val="21"/>
                    </w:rPr>
                  </w:pPr>
                  <w:r>
                    <w:rPr>
                      <w:rFonts w:hint="eastAsia"/>
                      <w:szCs w:val="21"/>
                    </w:rPr>
                    <w:t>0</w:t>
                  </w:r>
                  <w:r>
                    <w:rPr>
                      <w:szCs w:val="21"/>
                    </w:rPr>
                    <w:t>.0003</w:t>
                  </w:r>
                </w:p>
              </w:tc>
              <w:tc>
                <w:tcPr>
                  <w:tcW w:w="991" w:type="dxa"/>
                  <w:vAlign w:val="center"/>
                </w:tcPr>
                <w:p>
                  <w:pPr>
                    <w:jc w:val="center"/>
                    <w:rPr>
                      <w:szCs w:val="21"/>
                    </w:rPr>
                  </w:pPr>
                  <w:r>
                    <w:rPr>
                      <w:szCs w:val="21"/>
                    </w:rPr>
                    <w:t>+</w:t>
                  </w:r>
                  <w:r>
                    <w:rPr>
                      <w:rFonts w:hint="eastAsia"/>
                      <w:szCs w:val="21"/>
                    </w:rPr>
                    <w:t>0</w:t>
                  </w:r>
                  <w:r>
                    <w:rPr>
                      <w:szCs w:val="21"/>
                    </w:rPr>
                    <w:t>.0003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continue"/>
                  <w:vAlign w:val="center"/>
                </w:tcPr>
                <w:p>
                  <w:pPr>
                    <w:widowControl/>
                    <w:jc w:val="center"/>
                    <w:rPr>
                      <w:kern w:val="0"/>
                      <w:szCs w:val="21"/>
                    </w:rPr>
                  </w:pPr>
                </w:p>
              </w:tc>
              <w:tc>
                <w:tcPr>
                  <w:tcW w:w="1085" w:type="dxa"/>
                  <w:vAlign w:val="center"/>
                </w:tcPr>
                <w:p>
                  <w:pPr>
                    <w:jc w:val="center"/>
                    <w:rPr>
                      <w:szCs w:val="21"/>
                      <w:lang w:val="pt-BR"/>
                    </w:rPr>
                  </w:pPr>
                  <w:r>
                    <w:rPr>
                      <w:bCs/>
                      <w:color w:val="000000"/>
                      <w:spacing w:val="-4"/>
                      <w:szCs w:val="21"/>
                    </w:rPr>
                    <w:t>TP</w:t>
                  </w:r>
                </w:p>
              </w:tc>
              <w:tc>
                <w:tcPr>
                  <w:tcW w:w="1452" w:type="dxa"/>
                  <w:vAlign w:val="center"/>
                </w:tcPr>
                <w:p>
                  <w:pPr>
                    <w:pStyle w:val="48"/>
                    <w:rPr>
                      <w:color w:val="auto"/>
                      <w:kern w:val="2"/>
                    </w:rPr>
                  </w:pPr>
                  <w:r>
                    <w:rPr>
                      <w:rFonts w:hint="eastAsia"/>
                    </w:rPr>
                    <w:t>0</w:t>
                  </w:r>
                  <w:r>
                    <w:t>.0002</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szCs w:val="21"/>
                    </w:rPr>
                    <w:t>0</w:t>
                  </w:r>
                  <w:r>
                    <w:rPr>
                      <w:szCs w:val="21"/>
                    </w:rPr>
                    <w:t>.0001</w:t>
                  </w:r>
                </w:p>
              </w:tc>
              <w:tc>
                <w:tcPr>
                  <w:tcW w:w="1130" w:type="dxa"/>
                  <w:vAlign w:val="center"/>
                </w:tcPr>
                <w:p>
                  <w:pPr>
                    <w:jc w:val="center"/>
                    <w:rPr>
                      <w:szCs w:val="21"/>
                    </w:rPr>
                  </w:pPr>
                  <w:r>
                    <w:rPr>
                      <w:rFonts w:hint="eastAsia"/>
                      <w:szCs w:val="21"/>
                    </w:rPr>
                    <w:t>0</w:t>
                  </w:r>
                  <w:r>
                    <w:rPr>
                      <w:szCs w:val="21"/>
                    </w:rPr>
                    <w:t>.0001</w:t>
                  </w:r>
                </w:p>
              </w:tc>
              <w:tc>
                <w:tcPr>
                  <w:tcW w:w="991" w:type="dxa"/>
                  <w:vAlign w:val="center"/>
                </w:tcPr>
                <w:p>
                  <w:pPr>
                    <w:jc w:val="center"/>
                    <w:rPr>
                      <w:szCs w:val="21"/>
                    </w:rPr>
                  </w:pPr>
                  <w:r>
                    <w:rPr>
                      <w:szCs w:val="21"/>
                    </w:rPr>
                    <w:t>+</w:t>
                  </w:r>
                  <w:r>
                    <w:rPr>
                      <w:rFonts w:hint="eastAsia"/>
                      <w:szCs w:val="21"/>
                    </w:rPr>
                    <w:t>0</w:t>
                  </w:r>
                  <w:r>
                    <w:rPr>
                      <w:szCs w:val="21"/>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continue"/>
                  <w:vAlign w:val="center"/>
                </w:tcPr>
                <w:p>
                  <w:pPr>
                    <w:widowControl/>
                    <w:jc w:val="center"/>
                    <w:rPr>
                      <w:kern w:val="0"/>
                      <w:szCs w:val="21"/>
                    </w:rPr>
                  </w:pPr>
                </w:p>
              </w:tc>
              <w:tc>
                <w:tcPr>
                  <w:tcW w:w="1085" w:type="dxa"/>
                  <w:vAlign w:val="center"/>
                </w:tcPr>
                <w:p>
                  <w:pPr>
                    <w:jc w:val="center"/>
                    <w:rPr>
                      <w:szCs w:val="21"/>
                      <w:lang w:val="pt-BR"/>
                    </w:rPr>
                  </w:pPr>
                  <w:r>
                    <w:rPr>
                      <w:bCs/>
                      <w:color w:val="000000"/>
                      <w:spacing w:val="-4"/>
                      <w:szCs w:val="21"/>
                    </w:rPr>
                    <w:t>TN</w:t>
                  </w:r>
                </w:p>
              </w:tc>
              <w:tc>
                <w:tcPr>
                  <w:tcW w:w="1452" w:type="dxa"/>
                  <w:vAlign w:val="center"/>
                </w:tcPr>
                <w:p>
                  <w:pPr>
                    <w:pStyle w:val="48"/>
                    <w:rPr>
                      <w:color w:val="auto"/>
                      <w:kern w:val="2"/>
                    </w:rPr>
                  </w:pPr>
                  <w:r>
                    <w:rPr>
                      <w:rFonts w:hint="eastAsia"/>
                    </w:rPr>
                    <w:t>0</w:t>
                  </w:r>
                  <w:r>
                    <w:t>.0091</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szCs w:val="21"/>
                    </w:rPr>
                    <w:t>0</w:t>
                  </w:r>
                  <w:r>
                    <w:rPr>
                      <w:szCs w:val="21"/>
                    </w:rPr>
                    <w:t>.0024</w:t>
                  </w:r>
                </w:p>
              </w:tc>
              <w:tc>
                <w:tcPr>
                  <w:tcW w:w="1130" w:type="dxa"/>
                  <w:vAlign w:val="center"/>
                </w:tcPr>
                <w:p>
                  <w:pPr>
                    <w:jc w:val="center"/>
                    <w:rPr>
                      <w:szCs w:val="21"/>
                    </w:rPr>
                  </w:pPr>
                  <w:r>
                    <w:rPr>
                      <w:rFonts w:hint="eastAsia"/>
                      <w:szCs w:val="21"/>
                    </w:rPr>
                    <w:t>0</w:t>
                  </w:r>
                  <w:r>
                    <w:rPr>
                      <w:szCs w:val="21"/>
                    </w:rPr>
                    <w:t>.0024</w:t>
                  </w:r>
                </w:p>
              </w:tc>
              <w:tc>
                <w:tcPr>
                  <w:tcW w:w="991" w:type="dxa"/>
                  <w:vAlign w:val="center"/>
                </w:tcPr>
                <w:p>
                  <w:pPr>
                    <w:jc w:val="center"/>
                    <w:rPr>
                      <w:szCs w:val="21"/>
                    </w:rPr>
                  </w:pPr>
                  <w:r>
                    <w:rPr>
                      <w:szCs w:val="21"/>
                    </w:rPr>
                    <w:t>+</w:t>
                  </w:r>
                  <w:r>
                    <w:rPr>
                      <w:rFonts w:hint="eastAsia"/>
                      <w:szCs w:val="21"/>
                    </w:rPr>
                    <w:t>0</w:t>
                  </w:r>
                  <w:r>
                    <w:rPr>
                      <w:szCs w:val="21"/>
                    </w:rPr>
                    <w:t>.0024</w:t>
                  </w:r>
                </w:p>
              </w:tc>
            </w:tr>
          </w:tbl>
          <w:p>
            <w:pPr>
              <w:widowControl/>
              <w:adjustRightInd w:val="0"/>
              <w:snapToGrid w:val="0"/>
              <w:spacing w:line="460" w:lineRule="exact"/>
              <w:ind w:firstLine="482" w:firstLineChars="200"/>
              <w:rPr>
                <w:b/>
                <w:color w:val="000000"/>
                <w:kern w:val="0"/>
                <w:sz w:val="24"/>
              </w:rPr>
            </w:pPr>
            <w:r>
              <w:rPr>
                <w:rFonts w:hint="eastAsia"/>
                <w:b/>
                <w:color w:val="000000"/>
                <w:kern w:val="0"/>
                <w:sz w:val="24"/>
              </w:rPr>
              <w:t>5</w:t>
            </w:r>
            <w:r>
              <w:rPr>
                <w:b/>
                <w:color w:val="000000"/>
                <w:kern w:val="0"/>
                <w:sz w:val="24"/>
              </w:rPr>
              <w:t>、监测要求</w:t>
            </w:r>
          </w:p>
          <w:p>
            <w:pPr>
              <w:widowControl/>
              <w:adjustRightInd w:val="0"/>
              <w:snapToGrid w:val="0"/>
              <w:spacing w:line="460" w:lineRule="exact"/>
              <w:ind w:firstLine="480" w:firstLineChars="200"/>
              <w:rPr>
                <w:color w:val="000000"/>
                <w:kern w:val="0"/>
                <w:sz w:val="24"/>
              </w:rPr>
            </w:pPr>
            <w:r>
              <w:rPr>
                <w:color w:val="000000"/>
                <w:kern w:val="0"/>
                <w:sz w:val="24"/>
              </w:rPr>
              <w:t>根据《排污许可证申请与核发技术规范  总则》（HJ 942-2018）5.2.1一般原则规定，单独排入城镇集中污水处理设施的生活污水仅说明排放去向，无需进行监测。本项目无生产废水产生，生活污水经化粪池处理后排入</w:t>
            </w:r>
            <w:r>
              <w:rPr>
                <w:rFonts w:hint="eastAsia"/>
                <w:bCs/>
                <w:color w:val="000000"/>
                <w:kern w:val="0"/>
                <w:sz w:val="24"/>
              </w:rPr>
              <w:t>获嘉县亢村</w:t>
            </w:r>
            <w:r>
              <w:rPr>
                <w:bCs/>
                <w:color w:val="000000"/>
                <w:kern w:val="0"/>
                <w:sz w:val="24"/>
              </w:rPr>
              <w:t>污水处理厂</w:t>
            </w:r>
            <w:r>
              <w:rPr>
                <w:color w:val="000000"/>
                <w:kern w:val="0"/>
                <w:sz w:val="24"/>
              </w:rPr>
              <w:t>进一步处理，因此本项目废水无需进行监测。</w:t>
            </w:r>
          </w:p>
          <w:p>
            <w:pPr>
              <w:adjustRightInd w:val="0"/>
              <w:snapToGrid w:val="0"/>
              <w:spacing w:line="460" w:lineRule="exact"/>
              <w:ind w:firstLine="482" w:firstLineChars="200"/>
              <w:rPr>
                <w:b/>
                <w:color w:val="000000"/>
                <w:sz w:val="24"/>
              </w:rPr>
            </w:pPr>
            <w:r>
              <w:rPr>
                <w:b/>
                <w:color w:val="000000"/>
                <w:sz w:val="24"/>
              </w:rPr>
              <w:t>二、废气</w:t>
            </w:r>
          </w:p>
          <w:p>
            <w:pPr>
              <w:adjustRightInd w:val="0"/>
              <w:snapToGrid w:val="0"/>
              <w:spacing w:line="460" w:lineRule="exact"/>
              <w:ind w:firstLine="482" w:firstLineChars="200"/>
              <w:rPr>
                <w:b/>
                <w:color w:val="000000"/>
                <w:sz w:val="24"/>
              </w:rPr>
            </w:pPr>
            <w:r>
              <w:rPr>
                <w:b/>
                <w:color w:val="000000"/>
                <w:sz w:val="24"/>
              </w:rPr>
              <w:t>1、有组织废气</w:t>
            </w:r>
          </w:p>
          <w:p>
            <w:pPr>
              <w:adjustRightInd w:val="0"/>
              <w:snapToGrid w:val="0"/>
              <w:spacing w:line="460" w:lineRule="exact"/>
              <w:ind w:firstLine="480" w:firstLineChars="200"/>
              <w:rPr>
                <w:color w:val="000000"/>
                <w:sz w:val="24"/>
              </w:rPr>
            </w:pPr>
            <w:r>
              <w:rPr>
                <w:rFonts w:hint="eastAsia"/>
                <w:color w:val="000000"/>
                <w:sz w:val="24"/>
              </w:rPr>
              <w:t>（1）灭菌废气</w:t>
            </w:r>
          </w:p>
          <w:p>
            <w:pPr>
              <w:adjustRightInd w:val="0"/>
              <w:snapToGrid w:val="0"/>
              <w:spacing w:line="460" w:lineRule="exact"/>
              <w:ind w:firstLine="480" w:firstLineChars="200"/>
              <w:rPr>
                <w:color w:val="000000"/>
                <w:sz w:val="24"/>
              </w:rPr>
            </w:pPr>
            <w:r>
              <w:rPr>
                <w:rFonts w:hint="eastAsia"/>
                <w:color w:val="000000"/>
                <w:sz w:val="24"/>
              </w:rPr>
              <w:t>本项目消毒灭菌使用环氧乙烷，利用其高蒸汽压的作用可以杀死细菌、病毒等，灭菌时使用过量的环氧乙烷，灭菌完成后环氧乙烷含量仍过量，本次评价以非甲烷总烃（表征环氧乙烷）作为消毒后废气的主要污染物。</w:t>
            </w:r>
          </w:p>
          <w:p>
            <w:pPr>
              <w:adjustRightInd w:val="0"/>
              <w:snapToGrid w:val="0"/>
              <w:spacing w:line="460" w:lineRule="exact"/>
              <w:ind w:firstLine="480" w:firstLineChars="200"/>
              <w:rPr>
                <w:color w:val="000000"/>
                <w:sz w:val="24"/>
              </w:rPr>
            </w:pPr>
            <w:r>
              <w:rPr>
                <w:rFonts w:hint="eastAsia"/>
                <w:color w:val="000000"/>
                <w:sz w:val="24"/>
              </w:rPr>
              <w:t>根据企业提供资料，一台灭菌柜投放环氧乙烷气体约8</w:t>
            </w:r>
            <w:r>
              <w:rPr>
                <w:color w:val="000000"/>
                <w:sz w:val="24"/>
              </w:rPr>
              <w:t>kg/</w:t>
            </w:r>
            <w:r>
              <w:rPr>
                <w:rFonts w:hint="eastAsia"/>
                <w:color w:val="000000"/>
                <w:sz w:val="24"/>
              </w:rPr>
              <w:t>次，每次消毒1</w:t>
            </w:r>
            <w:r>
              <w:rPr>
                <w:color w:val="000000"/>
                <w:sz w:val="24"/>
              </w:rPr>
              <w:t>0h</w:t>
            </w:r>
            <w:r>
              <w:rPr>
                <w:rFonts w:hint="eastAsia"/>
                <w:color w:val="000000"/>
                <w:sz w:val="24"/>
              </w:rPr>
              <w:t>，可完成约9万支口罩灭菌工作，则一年灭菌约1</w:t>
            </w:r>
            <w:r>
              <w:rPr>
                <w:color w:val="000000"/>
                <w:sz w:val="24"/>
              </w:rPr>
              <w:t>12</w:t>
            </w:r>
            <w:r>
              <w:rPr>
                <w:rFonts w:hint="eastAsia"/>
                <w:color w:val="000000"/>
                <w:sz w:val="24"/>
              </w:rPr>
              <w:t>次，环氧乙烷使用量约为0</w:t>
            </w:r>
            <w:r>
              <w:rPr>
                <w:color w:val="000000"/>
                <w:sz w:val="24"/>
              </w:rPr>
              <w:t>.9t/a</w:t>
            </w:r>
            <w:r>
              <w:rPr>
                <w:rFonts w:hint="eastAsia"/>
                <w:color w:val="000000"/>
                <w:sz w:val="24"/>
              </w:rPr>
              <w:t>。环氧乙烷消毒灭菌时密闭作业，待灭菌完成后排放废气，灭菌后产生的有机废气</w:t>
            </w:r>
            <w:r>
              <w:rPr>
                <w:rFonts w:hint="eastAsia"/>
                <w:bCs/>
                <w:color w:val="000000"/>
                <w:sz w:val="24"/>
              </w:rPr>
              <w:t>（以非甲烷总烃计）量不变，则非甲烷总烃产生量为0</w:t>
            </w:r>
            <w:r>
              <w:rPr>
                <w:bCs/>
                <w:color w:val="000000"/>
                <w:sz w:val="24"/>
              </w:rPr>
              <w:t>.9t/a</w:t>
            </w:r>
            <w:r>
              <w:rPr>
                <w:rFonts w:hint="eastAsia"/>
                <w:bCs/>
                <w:color w:val="000000"/>
                <w:sz w:val="24"/>
              </w:rPr>
              <w:t>，废气</w:t>
            </w:r>
            <w:r>
              <w:rPr>
                <w:rFonts w:hint="eastAsia"/>
                <w:color w:val="000000"/>
                <w:sz w:val="24"/>
              </w:rPr>
              <w:t>排放时间约为</w:t>
            </w:r>
            <w:r>
              <w:rPr>
                <w:color w:val="000000"/>
                <w:sz w:val="24"/>
              </w:rPr>
              <w:t>3h/</w:t>
            </w:r>
            <w:r>
              <w:rPr>
                <w:rFonts w:hint="eastAsia"/>
                <w:color w:val="000000"/>
                <w:sz w:val="24"/>
              </w:rPr>
              <w:t>次（</w:t>
            </w:r>
            <w:r>
              <w:rPr>
                <w:color w:val="000000"/>
                <w:sz w:val="24"/>
              </w:rPr>
              <w:t>336h/a</w:t>
            </w:r>
            <w:r>
              <w:rPr>
                <w:rFonts w:hint="eastAsia"/>
                <w:color w:val="000000"/>
                <w:sz w:val="24"/>
              </w:rPr>
              <w:t>）。</w:t>
            </w:r>
          </w:p>
          <w:p>
            <w:pPr>
              <w:adjustRightInd w:val="0"/>
              <w:snapToGrid w:val="0"/>
              <w:spacing w:line="460" w:lineRule="exact"/>
              <w:ind w:firstLine="480" w:firstLineChars="200"/>
              <w:rPr>
                <w:bCs/>
                <w:color w:val="000000"/>
                <w:sz w:val="24"/>
              </w:rPr>
            </w:pPr>
            <w:r>
              <w:rPr>
                <w:rFonts w:hint="eastAsia"/>
                <w:color w:val="000000"/>
                <w:sz w:val="24"/>
              </w:rPr>
              <w:t>根据环氧乙烷极易溶于水、可以与水以任意比例互溶的特性，</w:t>
            </w:r>
            <w:r>
              <w:rPr>
                <w:bCs/>
                <w:color w:val="000000"/>
                <w:sz w:val="24"/>
              </w:rPr>
              <w:t>评价提出，</w:t>
            </w:r>
            <w:r>
              <w:rPr>
                <w:rFonts w:hint="eastAsia"/>
                <w:bCs/>
                <w:color w:val="000000"/>
                <w:sz w:val="24"/>
              </w:rPr>
              <w:t>灭菌柜有机废气经负压密闭管道收集至水喷淋装置处理，处理后废气经1根1</w:t>
            </w:r>
            <w:r>
              <w:rPr>
                <w:bCs/>
                <w:color w:val="000000"/>
                <w:sz w:val="24"/>
              </w:rPr>
              <w:t>5m</w:t>
            </w:r>
            <w:r>
              <w:rPr>
                <w:rFonts w:hint="eastAsia"/>
                <w:bCs/>
                <w:color w:val="000000"/>
                <w:sz w:val="24"/>
              </w:rPr>
              <w:t>高排气筒P</w:t>
            </w:r>
            <w:r>
              <w:rPr>
                <w:bCs/>
                <w:color w:val="000000"/>
                <w:sz w:val="24"/>
              </w:rPr>
              <w:t>2</w:t>
            </w:r>
            <w:r>
              <w:rPr>
                <w:rFonts w:hint="eastAsia"/>
                <w:bCs/>
                <w:color w:val="000000"/>
                <w:sz w:val="24"/>
              </w:rPr>
              <w:t>排放</w:t>
            </w:r>
            <w:r>
              <w:rPr>
                <w:bCs/>
                <w:color w:val="000000"/>
                <w:sz w:val="24"/>
              </w:rPr>
              <w:t>。</w:t>
            </w:r>
            <w:r>
              <w:rPr>
                <w:rFonts w:hint="eastAsia"/>
                <w:bCs/>
                <w:color w:val="000000"/>
                <w:sz w:val="24"/>
              </w:rPr>
              <w:t>灭菌工序所需风机风量为</w:t>
            </w:r>
            <w:r>
              <w:rPr>
                <w:bCs/>
                <w:color w:val="000000"/>
                <w:sz w:val="24"/>
              </w:rPr>
              <w:t>5000m</w:t>
            </w:r>
            <w:r>
              <w:rPr>
                <w:bCs/>
                <w:color w:val="000000"/>
                <w:sz w:val="24"/>
                <w:vertAlign w:val="superscript"/>
              </w:rPr>
              <w:t>3</w:t>
            </w:r>
            <w:r>
              <w:rPr>
                <w:bCs/>
                <w:color w:val="000000"/>
                <w:sz w:val="24"/>
              </w:rPr>
              <w:t>/h</w:t>
            </w:r>
            <w:r>
              <w:rPr>
                <w:rFonts w:hint="eastAsia"/>
                <w:bCs/>
                <w:color w:val="000000"/>
                <w:sz w:val="24"/>
              </w:rPr>
              <w:t>。口罩虽进行环氧乙烷气体排空操作，但口罩包装箱内仍存有少量的环氧乙烷气体，约占环氧乙烷用量的5%，残余的环氧乙烷在解析室进行解析。因此密闭管道收集废气效率按9</w:t>
            </w:r>
            <w:r>
              <w:rPr>
                <w:bCs/>
                <w:color w:val="000000"/>
                <w:sz w:val="24"/>
              </w:rPr>
              <w:t>5</w:t>
            </w:r>
            <w:r>
              <w:rPr>
                <w:rFonts w:hint="eastAsia"/>
                <w:bCs/>
                <w:color w:val="000000"/>
                <w:sz w:val="24"/>
              </w:rPr>
              <w:t>%，水喷淋装置处理效率约为9</w:t>
            </w:r>
            <w:r>
              <w:rPr>
                <w:bCs/>
                <w:color w:val="000000"/>
                <w:sz w:val="24"/>
              </w:rPr>
              <w:t>0</w:t>
            </w:r>
            <w:r>
              <w:rPr>
                <w:rFonts w:hint="eastAsia"/>
                <w:bCs/>
                <w:color w:val="000000"/>
                <w:sz w:val="24"/>
              </w:rPr>
              <w:t>%。</w:t>
            </w:r>
          </w:p>
          <w:p>
            <w:pPr>
              <w:spacing w:line="460" w:lineRule="exact"/>
              <w:ind w:firstLine="480" w:firstLineChars="200"/>
              <w:jc w:val="left"/>
              <w:rPr>
                <w:color w:val="000000"/>
                <w:sz w:val="24"/>
              </w:rPr>
            </w:pPr>
            <w:r>
              <w:rPr>
                <w:color w:val="000000"/>
                <w:sz w:val="24"/>
              </w:rPr>
              <w:t>本项目废气污染物产排情况如下表：</w:t>
            </w:r>
          </w:p>
          <w:p>
            <w:pPr>
              <w:spacing w:line="460" w:lineRule="exact"/>
              <w:ind w:firstLine="480" w:firstLineChars="200"/>
              <w:jc w:val="left"/>
              <w:rPr>
                <w:rFonts w:eastAsia="黑体"/>
                <w:color w:val="000000"/>
                <w:sz w:val="24"/>
              </w:rPr>
            </w:pPr>
            <w:r>
              <w:rPr>
                <w:rFonts w:eastAsia="黑体"/>
                <w:color w:val="000000"/>
                <w:sz w:val="24"/>
              </w:rPr>
              <w:t>表</w:t>
            </w:r>
            <w:r>
              <w:rPr>
                <w:rFonts w:hint="eastAsia" w:eastAsia="黑体"/>
                <w:color w:val="000000"/>
                <w:sz w:val="24"/>
              </w:rPr>
              <w:t>2</w:t>
            </w:r>
            <w:r>
              <w:rPr>
                <w:rFonts w:eastAsia="黑体"/>
                <w:color w:val="000000"/>
                <w:sz w:val="24"/>
              </w:rPr>
              <w:t xml:space="preserve">7          </w:t>
            </w:r>
            <w:r>
              <w:rPr>
                <w:rFonts w:hint="eastAsia" w:eastAsia="黑体"/>
                <w:color w:val="000000"/>
                <w:sz w:val="24"/>
              </w:rPr>
              <w:t xml:space="preserve"> </w:t>
            </w:r>
            <w:r>
              <w:rPr>
                <w:rFonts w:eastAsia="黑体"/>
                <w:color w:val="000000"/>
                <w:sz w:val="24"/>
              </w:rPr>
              <w:t>本项目废气污染物产</w:t>
            </w:r>
            <w:r>
              <w:rPr>
                <w:rFonts w:hint="eastAsia" w:eastAsia="黑体"/>
                <w:color w:val="000000"/>
                <w:sz w:val="24"/>
              </w:rPr>
              <w:t>排</w:t>
            </w:r>
            <w:r>
              <w:rPr>
                <w:rFonts w:eastAsia="黑体"/>
                <w:color w:val="000000"/>
                <w:sz w:val="24"/>
              </w:rPr>
              <w:t>情况一览表</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523"/>
              <w:gridCol w:w="727"/>
              <w:gridCol w:w="756"/>
              <w:gridCol w:w="707"/>
              <w:gridCol w:w="848"/>
              <w:gridCol w:w="991"/>
              <w:gridCol w:w="707"/>
              <w:gridCol w:w="707"/>
              <w:gridCol w:w="990"/>
              <w:gridCol w:w="9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tcBorders>
                    <w:top w:val="single" w:color="auto" w:sz="8" w:space="0"/>
                    <w:left w:val="nil"/>
                    <w:bottom w:val="single" w:color="auto" w:sz="6" w:space="0"/>
                    <w:right w:val="single" w:color="auto" w:sz="4" w:space="0"/>
                  </w:tcBorders>
                  <w:vAlign w:val="center"/>
                </w:tcPr>
                <w:p>
                  <w:pPr>
                    <w:widowControl/>
                    <w:jc w:val="center"/>
                    <w:rPr>
                      <w:b/>
                      <w:color w:val="000000"/>
                      <w:kern w:val="0"/>
                      <w:szCs w:val="21"/>
                    </w:rPr>
                  </w:pPr>
                  <w:r>
                    <w:rPr>
                      <w:rFonts w:hint="eastAsia"/>
                      <w:b/>
                      <w:color w:val="000000"/>
                      <w:szCs w:val="21"/>
                    </w:rPr>
                    <w:t>污染工序</w:t>
                  </w:r>
                </w:p>
              </w:tc>
              <w:tc>
                <w:tcPr>
                  <w:tcW w:w="459" w:type="pct"/>
                  <w:tcBorders>
                    <w:top w:val="single" w:color="auto" w:sz="8" w:space="0"/>
                    <w:left w:val="single" w:color="auto" w:sz="4" w:space="0"/>
                    <w:bottom w:val="single" w:color="auto" w:sz="6" w:space="0"/>
                  </w:tcBorders>
                  <w:vAlign w:val="center"/>
                </w:tcPr>
                <w:p>
                  <w:pPr>
                    <w:widowControl/>
                    <w:jc w:val="center"/>
                    <w:rPr>
                      <w:b/>
                      <w:color w:val="000000"/>
                      <w:kern w:val="0"/>
                      <w:szCs w:val="21"/>
                    </w:rPr>
                  </w:pPr>
                  <w:r>
                    <w:rPr>
                      <w:b/>
                      <w:color w:val="000000"/>
                      <w:szCs w:val="21"/>
                    </w:rPr>
                    <w:t>污染因子</w:t>
                  </w:r>
                </w:p>
              </w:tc>
              <w:tc>
                <w:tcPr>
                  <w:tcW w:w="477" w:type="pct"/>
                  <w:tcBorders>
                    <w:top w:val="single" w:color="auto" w:sz="8" w:space="0"/>
                    <w:bottom w:val="single" w:color="auto" w:sz="6" w:space="0"/>
                  </w:tcBorders>
                  <w:vAlign w:val="center"/>
                </w:tcPr>
                <w:p>
                  <w:pPr>
                    <w:widowControl/>
                    <w:jc w:val="center"/>
                    <w:rPr>
                      <w:b/>
                      <w:color w:val="000000"/>
                      <w:szCs w:val="21"/>
                    </w:rPr>
                  </w:pPr>
                  <w:r>
                    <w:rPr>
                      <w:b/>
                      <w:color w:val="000000"/>
                      <w:szCs w:val="21"/>
                    </w:rPr>
                    <w:t>产生量(t/a)</w:t>
                  </w:r>
                </w:p>
              </w:tc>
              <w:tc>
                <w:tcPr>
                  <w:tcW w:w="446" w:type="pct"/>
                  <w:tcBorders>
                    <w:top w:val="single" w:color="auto" w:sz="8" w:space="0"/>
                    <w:bottom w:val="single" w:color="auto" w:sz="6" w:space="0"/>
                  </w:tcBorders>
                  <w:vAlign w:val="center"/>
                </w:tcPr>
                <w:p>
                  <w:pPr>
                    <w:widowControl/>
                    <w:jc w:val="center"/>
                    <w:rPr>
                      <w:b/>
                      <w:color w:val="000000"/>
                      <w:szCs w:val="21"/>
                    </w:rPr>
                  </w:pPr>
                  <w:r>
                    <w:rPr>
                      <w:b/>
                      <w:color w:val="000000"/>
                      <w:szCs w:val="21"/>
                    </w:rPr>
                    <w:t>收集量</w:t>
                  </w:r>
                  <w:r>
                    <w:rPr>
                      <w:rFonts w:hint="eastAsia"/>
                      <w:b/>
                      <w:color w:val="000000"/>
                      <w:szCs w:val="21"/>
                    </w:rPr>
                    <w:t>(</w:t>
                  </w:r>
                  <w:r>
                    <w:rPr>
                      <w:b/>
                      <w:color w:val="000000"/>
                      <w:szCs w:val="21"/>
                    </w:rPr>
                    <w:t>t/a)</w:t>
                  </w:r>
                </w:p>
              </w:tc>
              <w:tc>
                <w:tcPr>
                  <w:tcW w:w="535" w:type="pct"/>
                  <w:tcBorders>
                    <w:top w:val="single" w:color="auto" w:sz="8" w:space="0"/>
                    <w:bottom w:val="single" w:color="auto" w:sz="6" w:space="0"/>
                  </w:tcBorders>
                  <w:vAlign w:val="center"/>
                </w:tcPr>
                <w:p>
                  <w:pPr>
                    <w:widowControl/>
                    <w:jc w:val="center"/>
                    <w:rPr>
                      <w:b/>
                      <w:color w:val="000000"/>
                      <w:szCs w:val="21"/>
                    </w:rPr>
                  </w:pPr>
                  <w:r>
                    <w:rPr>
                      <w:b/>
                      <w:color w:val="000000"/>
                      <w:szCs w:val="21"/>
                    </w:rPr>
                    <w:t>产生速率(kg/h)</w:t>
                  </w:r>
                </w:p>
              </w:tc>
              <w:tc>
                <w:tcPr>
                  <w:tcW w:w="625" w:type="pct"/>
                  <w:tcBorders>
                    <w:top w:val="single" w:color="auto" w:sz="8" w:space="0"/>
                    <w:bottom w:val="single" w:color="auto" w:sz="6" w:space="0"/>
                  </w:tcBorders>
                  <w:vAlign w:val="center"/>
                </w:tcPr>
                <w:p>
                  <w:pPr>
                    <w:widowControl/>
                    <w:jc w:val="center"/>
                    <w:rPr>
                      <w:b/>
                      <w:color w:val="000000"/>
                      <w:szCs w:val="21"/>
                    </w:rPr>
                  </w:pPr>
                  <w:r>
                    <w:rPr>
                      <w:b/>
                      <w:color w:val="000000"/>
                      <w:szCs w:val="21"/>
                    </w:rPr>
                    <w:t>产生浓度(mg/m</w:t>
                  </w:r>
                  <w:r>
                    <w:rPr>
                      <w:b/>
                      <w:color w:val="000000"/>
                      <w:szCs w:val="21"/>
                      <w:vertAlign w:val="superscript"/>
                    </w:rPr>
                    <w:t>3</w:t>
                  </w:r>
                  <w:r>
                    <w:rPr>
                      <w:b/>
                      <w:color w:val="000000"/>
                      <w:szCs w:val="21"/>
                    </w:rPr>
                    <w:t>)</w:t>
                  </w:r>
                </w:p>
              </w:tc>
              <w:tc>
                <w:tcPr>
                  <w:tcW w:w="446" w:type="pct"/>
                  <w:tcBorders>
                    <w:top w:val="single" w:color="auto" w:sz="8" w:space="0"/>
                    <w:bottom w:val="single" w:color="auto" w:sz="6" w:space="0"/>
                    <w:right w:val="single" w:color="auto" w:sz="4" w:space="0"/>
                  </w:tcBorders>
                  <w:vAlign w:val="center"/>
                </w:tcPr>
                <w:p>
                  <w:pPr>
                    <w:widowControl/>
                    <w:jc w:val="center"/>
                    <w:rPr>
                      <w:b/>
                      <w:color w:val="000000"/>
                      <w:szCs w:val="21"/>
                    </w:rPr>
                  </w:pPr>
                  <w:r>
                    <w:rPr>
                      <w:rFonts w:hint="eastAsia"/>
                      <w:b/>
                      <w:color w:val="000000"/>
                      <w:szCs w:val="21"/>
                    </w:rPr>
                    <w:t>风</w:t>
                  </w:r>
                  <w:r>
                    <w:rPr>
                      <w:b/>
                      <w:color w:val="000000"/>
                      <w:szCs w:val="21"/>
                    </w:rPr>
                    <w:t>量(m</w:t>
                  </w:r>
                  <w:r>
                    <w:rPr>
                      <w:b/>
                      <w:color w:val="000000"/>
                      <w:szCs w:val="21"/>
                      <w:vertAlign w:val="superscript"/>
                    </w:rPr>
                    <w:t>3</w:t>
                  </w:r>
                  <w:r>
                    <w:rPr>
                      <w:b/>
                      <w:color w:val="000000"/>
                      <w:szCs w:val="21"/>
                    </w:rPr>
                    <w:t>/h)</w:t>
                  </w:r>
                </w:p>
              </w:tc>
              <w:tc>
                <w:tcPr>
                  <w:tcW w:w="446" w:type="pct"/>
                  <w:tcBorders>
                    <w:top w:val="single" w:color="auto" w:sz="8" w:space="0"/>
                    <w:left w:val="single" w:color="auto" w:sz="4" w:space="0"/>
                    <w:bottom w:val="single" w:color="auto" w:sz="6" w:space="0"/>
                  </w:tcBorders>
                  <w:vAlign w:val="center"/>
                </w:tcPr>
                <w:p>
                  <w:pPr>
                    <w:widowControl/>
                    <w:jc w:val="center"/>
                    <w:rPr>
                      <w:b/>
                      <w:color w:val="000000"/>
                      <w:szCs w:val="21"/>
                    </w:rPr>
                  </w:pPr>
                  <w:r>
                    <w:rPr>
                      <w:rFonts w:hint="eastAsia"/>
                      <w:b/>
                      <w:color w:val="000000"/>
                      <w:szCs w:val="21"/>
                    </w:rPr>
                    <w:t>排放</w:t>
                  </w:r>
                  <w:r>
                    <w:rPr>
                      <w:b/>
                      <w:color w:val="000000"/>
                      <w:szCs w:val="21"/>
                    </w:rPr>
                    <w:t>量(t/a)</w:t>
                  </w:r>
                </w:p>
              </w:tc>
              <w:tc>
                <w:tcPr>
                  <w:tcW w:w="624" w:type="pct"/>
                  <w:tcBorders>
                    <w:top w:val="single" w:color="auto" w:sz="8" w:space="0"/>
                    <w:left w:val="single" w:color="auto" w:sz="4" w:space="0"/>
                    <w:bottom w:val="single" w:color="auto" w:sz="6" w:space="0"/>
                  </w:tcBorders>
                  <w:vAlign w:val="center"/>
                </w:tcPr>
                <w:p>
                  <w:pPr>
                    <w:widowControl/>
                    <w:jc w:val="center"/>
                    <w:rPr>
                      <w:b/>
                      <w:color w:val="000000"/>
                      <w:szCs w:val="21"/>
                    </w:rPr>
                  </w:pPr>
                  <w:r>
                    <w:rPr>
                      <w:rFonts w:hint="eastAsia"/>
                      <w:b/>
                      <w:color w:val="000000"/>
                      <w:szCs w:val="21"/>
                    </w:rPr>
                    <w:t>排放</w:t>
                  </w:r>
                  <w:r>
                    <w:rPr>
                      <w:b/>
                      <w:color w:val="000000"/>
                      <w:szCs w:val="21"/>
                    </w:rPr>
                    <w:t>速率(kg/h)</w:t>
                  </w:r>
                </w:p>
              </w:tc>
              <w:tc>
                <w:tcPr>
                  <w:tcW w:w="613" w:type="pct"/>
                  <w:tcBorders>
                    <w:top w:val="single" w:color="auto" w:sz="8" w:space="0"/>
                    <w:left w:val="single" w:color="auto" w:sz="4" w:space="0"/>
                    <w:bottom w:val="single" w:color="auto" w:sz="6" w:space="0"/>
                    <w:right w:val="nil"/>
                  </w:tcBorders>
                  <w:vAlign w:val="center"/>
                </w:tcPr>
                <w:p>
                  <w:pPr>
                    <w:widowControl/>
                    <w:jc w:val="center"/>
                    <w:rPr>
                      <w:b/>
                      <w:color w:val="000000"/>
                      <w:szCs w:val="21"/>
                    </w:rPr>
                  </w:pPr>
                  <w:r>
                    <w:rPr>
                      <w:rFonts w:hint="eastAsia"/>
                      <w:b/>
                      <w:color w:val="000000"/>
                      <w:szCs w:val="21"/>
                    </w:rPr>
                    <w:t>排放</w:t>
                  </w:r>
                  <w:r>
                    <w:rPr>
                      <w:b/>
                      <w:color w:val="000000"/>
                      <w:szCs w:val="21"/>
                    </w:rPr>
                    <w:t>浓度(mg/m</w:t>
                  </w:r>
                  <w:r>
                    <w:rPr>
                      <w:b/>
                      <w:color w:val="000000"/>
                      <w:szCs w:val="21"/>
                      <w:vertAlign w:val="superscript"/>
                    </w:rPr>
                    <w:t>3</w:t>
                  </w:r>
                  <w:r>
                    <w:rPr>
                      <w:b/>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tcBorders>
                    <w:top w:val="single" w:color="auto" w:sz="6" w:space="0"/>
                    <w:left w:val="nil"/>
                    <w:bottom w:val="single" w:color="auto" w:sz="8" w:space="0"/>
                    <w:right w:val="single" w:color="auto" w:sz="4" w:space="0"/>
                  </w:tcBorders>
                  <w:vAlign w:val="center"/>
                </w:tcPr>
                <w:p>
                  <w:pPr>
                    <w:ind w:firstLine="35" w:firstLineChars="17"/>
                    <w:jc w:val="center"/>
                    <w:rPr>
                      <w:color w:val="000000"/>
                      <w:szCs w:val="21"/>
                      <w:lang w:val="pt-BR"/>
                    </w:rPr>
                  </w:pPr>
                  <w:r>
                    <w:rPr>
                      <w:rFonts w:hint="eastAsia"/>
                      <w:color w:val="000000"/>
                      <w:szCs w:val="21"/>
                      <w:lang w:val="pt-BR"/>
                    </w:rPr>
                    <w:t>灭菌</w:t>
                  </w:r>
                </w:p>
              </w:tc>
              <w:tc>
                <w:tcPr>
                  <w:tcW w:w="459" w:type="pct"/>
                  <w:tcBorders>
                    <w:top w:val="single" w:color="auto" w:sz="6" w:space="0"/>
                    <w:left w:val="single" w:color="auto" w:sz="4" w:space="0"/>
                    <w:bottom w:val="single" w:color="auto" w:sz="8" w:space="0"/>
                  </w:tcBorders>
                  <w:vAlign w:val="center"/>
                </w:tcPr>
                <w:p>
                  <w:pPr>
                    <w:jc w:val="center"/>
                    <w:rPr>
                      <w:color w:val="000000"/>
                      <w:szCs w:val="21"/>
                      <w:lang w:val="pt-BR"/>
                    </w:rPr>
                  </w:pPr>
                  <w:r>
                    <w:rPr>
                      <w:rFonts w:hint="eastAsia"/>
                      <w:color w:val="000000"/>
                      <w:szCs w:val="21"/>
                      <w:lang w:val="pt-BR"/>
                    </w:rPr>
                    <w:t>非甲烷总烃</w:t>
                  </w:r>
                </w:p>
              </w:tc>
              <w:tc>
                <w:tcPr>
                  <w:tcW w:w="477" w:type="pct"/>
                  <w:tcBorders>
                    <w:top w:val="single" w:color="auto" w:sz="6" w:space="0"/>
                    <w:bottom w:val="single" w:color="auto" w:sz="8" w:space="0"/>
                  </w:tcBorders>
                  <w:vAlign w:val="center"/>
                </w:tcPr>
                <w:p>
                  <w:pPr>
                    <w:pStyle w:val="9"/>
                    <w:snapToGrid w:val="0"/>
                    <w:jc w:val="center"/>
                    <w:rPr>
                      <w:rFonts w:ascii="Times New Roman" w:hAnsi="Times New Roman" w:cs="Courier New"/>
                      <w:color w:val="000000"/>
                      <w:lang w:val="en-US"/>
                    </w:rPr>
                  </w:pPr>
                  <w:r>
                    <w:rPr>
                      <w:rFonts w:hint="eastAsia" w:ascii="Times New Roman" w:hAnsi="Times New Roman" w:cs="Courier New"/>
                      <w:color w:val="000000"/>
                      <w:lang w:val="en-US"/>
                    </w:rPr>
                    <w:t>0</w:t>
                  </w:r>
                  <w:r>
                    <w:rPr>
                      <w:rFonts w:ascii="Times New Roman" w:hAnsi="Times New Roman" w:cs="Courier New"/>
                      <w:color w:val="000000"/>
                      <w:lang w:val="en-US"/>
                    </w:rPr>
                    <w:t>.9</w:t>
                  </w:r>
                </w:p>
              </w:tc>
              <w:tc>
                <w:tcPr>
                  <w:tcW w:w="446" w:type="pct"/>
                  <w:tcBorders>
                    <w:top w:val="single" w:color="auto" w:sz="6" w:space="0"/>
                    <w:bottom w:val="single" w:color="auto" w:sz="8" w:space="0"/>
                  </w:tcBorders>
                  <w:vAlign w:val="center"/>
                </w:tcPr>
                <w:p>
                  <w:pPr>
                    <w:pStyle w:val="9"/>
                    <w:snapToGrid w:val="0"/>
                    <w:jc w:val="center"/>
                    <w:rPr>
                      <w:rFonts w:ascii="Times New Roman" w:hAnsi="Times New Roman" w:cs="Courier New"/>
                      <w:color w:val="000000"/>
                      <w:lang w:val="en-US"/>
                    </w:rPr>
                  </w:pPr>
                  <w:r>
                    <w:rPr>
                      <w:rFonts w:hint="eastAsia" w:ascii="Times New Roman" w:hAnsi="Times New Roman" w:cs="Courier New"/>
                      <w:color w:val="000000"/>
                      <w:lang w:val="en-US"/>
                    </w:rPr>
                    <w:t>0</w:t>
                  </w:r>
                  <w:r>
                    <w:rPr>
                      <w:rFonts w:ascii="Times New Roman" w:hAnsi="Times New Roman" w:cs="Courier New"/>
                      <w:color w:val="000000"/>
                      <w:lang w:val="en-US"/>
                    </w:rPr>
                    <w:t>.855</w:t>
                  </w:r>
                </w:p>
              </w:tc>
              <w:tc>
                <w:tcPr>
                  <w:tcW w:w="535" w:type="pct"/>
                  <w:tcBorders>
                    <w:top w:val="single" w:color="auto" w:sz="6" w:space="0"/>
                    <w:bottom w:val="single" w:color="auto" w:sz="8" w:space="0"/>
                  </w:tcBorders>
                  <w:vAlign w:val="center"/>
                </w:tcPr>
                <w:p>
                  <w:pPr>
                    <w:pStyle w:val="9"/>
                    <w:snapToGrid w:val="0"/>
                    <w:jc w:val="center"/>
                    <w:rPr>
                      <w:rFonts w:ascii="Times New Roman" w:hAnsi="Times New Roman" w:cs="Courier New"/>
                      <w:color w:val="000000"/>
                      <w:lang w:val="en-US"/>
                    </w:rPr>
                  </w:pPr>
                  <w:r>
                    <w:rPr>
                      <w:rFonts w:ascii="Times New Roman" w:hAnsi="Times New Roman" w:cs="Courier New"/>
                      <w:color w:val="000000"/>
                      <w:lang w:val="en-US"/>
                    </w:rPr>
                    <w:t>2.5446</w:t>
                  </w:r>
                </w:p>
              </w:tc>
              <w:tc>
                <w:tcPr>
                  <w:tcW w:w="625" w:type="pct"/>
                  <w:tcBorders>
                    <w:top w:val="single" w:color="auto" w:sz="6" w:space="0"/>
                    <w:bottom w:val="single" w:color="auto" w:sz="8" w:space="0"/>
                  </w:tcBorders>
                  <w:vAlign w:val="center"/>
                </w:tcPr>
                <w:p>
                  <w:pPr>
                    <w:pStyle w:val="9"/>
                    <w:snapToGrid w:val="0"/>
                    <w:jc w:val="center"/>
                    <w:rPr>
                      <w:rFonts w:ascii="Times New Roman" w:hAnsi="Times New Roman" w:cs="Courier New"/>
                      <w:color w:val="000000"/>
                      <w:lang w:val="en-US"/>
                    </w:rPr>
                  </w:pPr>
                  <w:r>
                    <w:rPr>
                      <w:rFonts w:ascii="Times New Roman" w:hAnsi="Times New Roman" w:cs="Courier New"/>
                      <w:color w:val="000000"/>
                      <w:lang w:val="en-US"/>
                    </w:rPr>
                    <w:t>508.92</w:t>
                  </w:r>
                </w:p>
              </w:tc>
              <w:tc>
                <w:tcPr>
                  <w:tcW w:w="446" w:type="pct"/>
                  <w:tcBorders>
                    <w:top w:val="single" w:color="auto" w:sz="6" w:space="0"/>
                    <w:bottom w:val="single" w:color="auto" w:sz="8" w:space="0"/>
                    <w:right w:val="single" w:color="auto" w:sz="4" w:space="0"/>
                  </w:tcBorders>
                  <w:vAlign w:val="center"/>
                </w:tcPr>
                <w:p>
                  <w:pPr>
                    <w:pStyle w:val="9"/>
                    <w:snapToGrid w:val="0"/>
                    <w:jc w:val="center"/>
                    <w:rPr>
                      <w:rFonts w:ascii="Times New Roman" w:hAnsi="Times New Roman" w:cs="Courier New"/>
                      <w:color w:val="000000"/>
                      <w:lang w:val="en-US"/>
                    </w:rPr>
                  </w:pPr>
                  <w:r>
                    <w:rPr>
                      <w:rFonts w:ascii="Times New Roman" w:hAnsi="Times New Roman" w:cs="Courier New"/>
                      <w:color w:val="000000"/>
                      <w:lang w:val="en-US"/>
                    </w:rPr>
                    <w:t>5000</w:t>
                  </w:r>
                </w:p>
              </w:tc>
              <w:tc>
                <w:tcPr>
                  <w:tcW w:w="446" w:type="pct"/>
                  <w:tcBorders>
                    <w:top w:val="single" w:color="auto" w:sz="6" w:space="0"/>
                    <w:left w:val="single" w:color="auto" w:sz="4" w:space="0"/>
                    <w:bottom w:val="single" w:color="auto" w:sz="8" w:space="0"/>
                  </w:tcBorders>
                  <w:vAlign w:val="center"/>
                </w:tcPr>
                <w:p>
                  <w:pPr>
                    <w:pStyle w:val="9"/>
                    <w:snapToGrid w:val="0"/>
                    <w:jc w:val="center"/>
                    <w:rPr>
                      <w:rFonts w:ascii="Times New Roman" w:hAnsi="Times New Roman" w:cs="Courier New"/>
                      <w:color w:val="000000"/>
                      <w:lang w:val="en-US"/>
                    </w:rPr>
                  </w:pPr>
                  <w:r>
                    <w:rPr>
                      <w:rFonts w:hint="eastAsia" w:ascii="Times New Roman" w:hAnsi="Times New Roman" w:cs="Courier New"/>
                      <w:color w:val="000000"/>
                      <w:lang w:val="en-US"/>
                    </w:rPr>
                    <w:t>0</w:t>
                  </w:r>
                  <w:r>
                    <w:rPr>
                      <w:rFonts w:ascii="Times New Roman" w:hAnsi="Times New Roman" w:cs="Courier New"/>
                      <w:color w:val="000000"/>
                      <w:lang w:val="en-US"/>
                    </w:rPr>
                    <w:t>.0855</w:t>
                  </w:r>
                </w:p>
              </w:tc>
              <w:tc>
                <w:tcPr>
                  <w:tcW w:w="624" w:type="pct"/>
                  <w:tcBorders>
                    <w:top w:val="single" w:color="auto" w:sz="6" w:space="0"/>
                    <w:left w:val="single" w:color="auto" w:sz="4" w:space="0"/>
                    <w:bottom w:val="single" w:color="auto" w:sz="8" w:space="0"/>
                  </w:tcBorders>
                  <w:vAlign w:val="center"/>
                </w:tcPr>
                <w:p>
                  <w:pPr>
                    <w:pStyle w:val="9"/>
                    <w:snapToGrid w:val="0"/>
                    <w:jc w:val="center"/>
                    <w:rPr>
                      <w:rFonts w:ascii="Times New Roman" w:hAnsi="Times New Roman" w:cs="Courier New"/>
                      <w:color w:val="000000"/>
                      <w:lang w:val="en-US"/>
                    </w:rPr>
                  </w:pPr>
                  <w:r>
                    <w:rPr>
                      <w:rFonts w:hint="eastAsia" w:ascii="Times New Roman" w:hAnsi="Times New Roman" w:cs="Courier New"/>
                      <w:color w:val="000000"/>
                      <w:lang w:val="en-US"/>
                    </w:rPr>
                    <w:t>0</w:t>
                  </w:r>
                  <w:r>
                    <w:rPr>
                      <w:rFonts w:ascii="Times New Roman" w:hAnsi="Times New Roman" w:cs="Courier New"/>
                      <w:color w:val="000000"/>
                      <w:lang w:val="en-US"/>
                    </w:rPr>
                    <w:t>.2545</w:t>
                  </w:r>
                </w:p>
              </w:tc>
              <w:tc>
                <w:tcPr>
                  <w:tcW w:w="613" w:type="pct"/>
                  <w:tcBorders>
                    <w:top w:val="single" w:color="auto" w:sz="6" w:space="0"/>
                    <w:left w:val="single" w:color="auto" w:sz="4" w:space="0"/>
                    <w:bottom w:val="single" w:color="auto" w:sz="8" w:space="0"/>
                    <w:right w:val="nil"/>
                  </w:tcBorders>
                  <w:vAlign w:val="center"/>
                </w:tcPr>
                <w:p>
                  <w:pPr>
                    <w:pStyle w:val="9"/>
                    <w:snapToGrid w:val="0"/>
                    <w:jc w:val="center"/>
                    <w:rPr>
                      <w:rFonts w:ascii="Times New Roman" w:hAnsi="Times New Roman" w:cs="Courier New"/>
                      <w:color w:val="000000"/>
                      <w:lang w:val="en-US"/>
                    </w:rPr>
                  </w:pPr>
                  <w:r>
                    <w:rPr>
                      <w:rFonts w:ascii="Times New Roman" w:hAnsi="Times New Roman" w:cs="Courier New"/>
                      <w:color w:val="000000"/>
                      <w:lang w:val="en-US"/>
                    </w:rPr>
                    <w:t>50.9</w:t>
                  </w:r>
                </w:p>
              </w:tc>
            </w:tr>
          </w:tbl>
          <w:p>
            <w:pPr>
              <w:adjustRightInd w:val="0"/>
              <w:snapToGrid w:val="0"/>
              <w:spacing w:line="460" w:lineRule="exact"/>
              <w:ind w:firstLine="480" w:firstLineChars="200"/>
              <w:rPr>
                <w:color w:val="000000"/>
                <w:sz w:val="24"/>
              </w:rPr>
            </w:pPr>
            <w:r>
              <w:rPr>
                <w:bCs/>
                <w:color w:val="000000"/>
                <w:sz w:val="24"/>
              </w:rPr>
              <w:t>由上表可知，</w:t>
            </w:r>
            <w:r>
              <w:rPr>
                <w:rFonts w:hint="eastAsia"/>
                <w:bCs/>
                <w:color w:val="000000"/>
                <w:sz w:val="24"/>
              </w:rPr>
              <w:t>非甲烷总烃</w:t>
            </w:r>
            <w:r>
              <w:rPr>
                <w:bCs/>
                <w:color w:val="000000"/>
                <w:sz w:val="24"/>
              </w:rPr>
              <w:t>经过治理后的</w:t>
            </w:r>
            <w:r>
              <w:rPr>
                <w:color w:val="000000"/>
                <w:sz w:val="24"/>
              </w:rPr>
              <w:t>排放浓度可以满足</w:t>
            </w:r>
            <w:r>
              <w:rPr>
                <w:rFonts w:hint="eastAsia"/>
                <w:bCs/>
                <w:color w:val="000000"/>
                <w:sz w:val="24"/>
              </w:rPr>
              <w:t>《关于全省开展工业企业挥发性有机物专项治理工作中排放建议值的通知》（豫环攻坚办（2</w:t>
            </w:r>
            <w:r>
              <w:rPr>
                <w:bCs/>
                <w:color w:val="000000"/>
                <w:sz w:val="24"/>
              </w:rPr>
              <w:t>017</w:t>
            </w:r>
            <w:r>
              <w:rPr>
                <w:rFonts w:hint="eastAsia"/>
                <w:bCs/>
                <w:color w:val="000000"/>
                <w:sz w:val="24"/>
              </w:rPr>
              <w:t>）1</w:t>
            </w:r>
            <w:r>
              <w:rPr>
                <w:bCs/>
                <w:color w:val="000000"/>
                <w:sz w:val="24"/>
              </w:rPr>
              <w:t>62</w:t>
            </w:r>
            <w:r>
              <w:rPr>
                <w:rFonts w:hint="eastAsia"/>
                <w:bCs/>
                <w:color w:val="000000"/>
                <w:sz w:val="24"/>
              </w:rPr>
              <w:t>号）附件1医药制造工业</w:t>
            </w:r>
            <w:r>
              <w:rPr>
                <w:color w:val="000000"/>
                <w:sz w:val="24"/>
              </w:rPr>
              <w:t>中</w:t>
            </w:r>
            <w:r>
              <w:rPr>
                <w:rFonts w:hint="eastAsia"/>
                <w:color w:val="000000"/>
                <w:sz w:val="24"/>
              </w:rPr>
              <w:t>非甲烷总烃</w:t>
            </w:r>
            <w:r>
              <w:rPr>
                <w:color w:val="000000"/>
                <w:sz w:val="24"/>
              </w:rPr>
              <w:t>有组织排放60mg/m</w:t>
            </w:r>
            <w:r>
              <w:rPr>
                <w:color w:val="000000"/>
                <w:sz w:val="24"/>
                <w:vertAlign w:val="superscript"/>
              </w:rPr>
              <w:t>3</w:t>
            </w:r>
            <w:r>
              <w:rPr>
                <w:color w:val="000000"/>
                <w:sz w:val="24"/>
              </w:rPr>
              <w:t>的限值要求</w:t>
            </w:r>
            <w:r>
              <w:rPr>
                <w:rFonts w:hint="eastAsia"/>
                <w:color w:val="000000"/>
                <w:sz w:val="24"/>
              </w:rPr>
              <w:t>。</w:t>
            </w:r>
          </w:p>
          <w:p>
            <w:pPr>
              <w:adjustRightInd w:val="0"/>
              <w:spacing w:line="460" w:lineRule="exact"/>
              <w:ind w:firstLine="482" w:firstLineChars="200"/>
              <w:rPr>
                <w:b/>
                <w:color w:val="000000"/>
                <w:sz w:val="24"/>
              </w:rPr>
            </w:pPr>
            <w:r>
              <w:rPr>
                <w:rFonts w:hint="eastAsia"/>
                <w:b/>
                <w:color w:val="000000"/>
                <w:sz w:val="24"/>
              </w:rPr>
              <w:t>2、无组织废气</w:t>
            </w:r>
          </w:p>
          <w:p>
            <w:pPr>
              <w:adjustRightInd w:val="0"/>
              <w:snapToGrid w:val="0"/>
              <w:spacing w:line="460" w:lineRule="exact"/>
              <w:ind w:firstLine="480" w:firstLineChars="200"/>
              <w:rPr>
                <w:bCs/>
                <w:color w:val="000000"/>
                <w:sz w:val="24"/>
              </w:rPr>
            </w:pPr>
            <w:r>
              <w:rPr>
                <w:rFonts w:hint="eastAsia"/>
                <w:bCs/>
                <w:color w:val="000000"/>
                <w:sz w:val="24"/>
              </w:rPr>
              <w:t>（1）解析废气</w:t>
            </w:r>
          </w:p>
          <w:p>
            <w:pPr>
              <w:adjustRightInd w:val="0"/>
              <w:snapToGrid w:val="0"/>
              <w:spacing w:line="460" w:lineRule="exact"/>
              <w:ind w:firstLine="480" w:firstLineChars="200"/>
              <w:rPr>
                <w:color w:val="000000"/>
                <w:sz w:val="24"/>
              </w:rPr>
            </w:pPr>
            <w:r>
              <w:rPr>
                <w:bCs/>
                <w:color w:val="000000"/>
                <w:sz w:val="24"/>
              </w:rPr>
              <w:t>根据上述分析可知，本项目</w:t>
            </w:r>
            <w:r>
              <w:rPr>
                <w:rFonts w:hint="eastAsia"/>
                <w:bCs/>
                <w:color w:val="000000"/>
                <w:sz w:val="24"/>
              </w:rPr>
              <w:t>灭菌</w:t>
            </w:r>
            <w:r>
              <w:rPr>
                <w:bCs/>
                <w:color w:val="000000"/>
                <w:sz w:val="24"/>
              </w:rPr>
              <w:t>废气污染物</w:t>
            </w:r>
            <w:r>
              <w:rPr>
                <w:rFonts w:hint="eastAsia"/>
                <w:bCs/>
                <w:color w:val="000000"/>
                <w:sz w:val="24"/>
              </w:rPr>
              <w:t>非甲烷总烃</w:t>
            </w:r>
            <w:r>
              <w:rPr>
                <w:bCs/>
                <w:color w:val="000000"/>
                <w:sz w:val="24"/>
              </w:rPr>
              <w:t>收集效率为95%，未被收集的5%的废气</w:t>
            </w:r>
            <w:r>
              <w:rPr>
                <w:rFonts w:hint="eastAsia"/>
                <w:bCs/>
                <w:color w:val="000000"/>
                <w:sz w:val="24"/>
              </w:rPr>
              <w:t>在解析室内</w:t>
            </w:r>
            <w:r>
              <w:rPr>
                <w:bCs/>
                <w:color w:val="000000"/>
                <w:sz w:val="24"/>
              </w:rPr>
              <w:t>以无组织的形式散失，无组织废气排放量为0.045t/a，排放速率为0.0075kg/h。</w:t>
            </w:r>
          </w:p>
          <w:p>
            <w:pPr>
              <w:adjustRightInd w:val="0"/>
              <w:snapToGrid w:val="0"/>
              <w:spacing w:line="460" w:lineRule="exact"/>
              <w:ind w:firstLine="480" w:firstLineChars="200"/>
              <w:rPr>
                <w:bCs/>
                <w:color w:val="000000"/>
                <w:sz w:val="24"/>
              </w:rPr>
            </w:pPr>
            <w:r>
              <w:rPr>
                <w:rFonts w:hint="eastAsia"/>
                <w:bCs/>
                <w:color w:val="000000"/>
                <w:sz w:val="24"/>
              </w:rPr>
              <w:t>（2）成型、上带废气</w:t>
            </w:r>
          </w:p>
          <w:p>
            <w:pPr>
              <w:adjustRightInd w:val="0"/>
              <w:snapToGrid w:val="0"/>
              <w:spacing w:line="460" w:lineRule="exact"/>
              <w:ind w:firstLine="480" w:firstLineChars="200"/>
              <w:rPr>
                <w:bCs/>
                <w:color w:val="000000"/>
                <w:sz w:val="24"/>
              </w:rPr>
            </w:pPr>
            <w:r>
              <w:rPr>
                <w:bCs/>
                <w:color w:val="000000"/>
                <w:sz w:val="24"/>
              </w:rPr>
              <w:t>本项目的口罩以无纺布、熔喷布为原料</w:t>
            </w:r>
            <w:r>
              <w:rPr>
                <w:rFonts w:hint="eastAsia"/>
                <w:bCs/>
                <w:color w:val="000000"/>
                <w:sz w:val="24"/>
              </w:rPr>
              <w:t>，其</w:t>
            </w:r>
            <w:r>
              <w:rPr>
                <w:bCs/>
                <w:color w:val="000000"/>
                <w:sz w:val="24"/>
              </w:rPr>
              <w:t>主要成分为聚丙烯</w:t>
            </w:r>
            <w:r>
              <w:rPr>
                <w:rFonts w:hint="eastAsia"/>
                <w:bCs/>
                <w:color w:val="000000"/>
                <w:sz w:val="24"/>
              </w:rPr>
              <w:t>。聚丙烯</w:t>
            </w:r>
            <w:r>
              <w:rPr>
                <w:bCs/>
                <w:color w:val="000000"/>
                <w:sz w:val="24"/>
              </w:rPr>
              <w:t>高聚物，在聚合反应条件下绝大多数经反应而生成聚合物</w:t>
            </w:r>
            <w:r>
              <w:rPr>
                <w:rFonts w:hint="eastAsia"/>
                <w:bCs/>
                <w:color w:val="000000"/>
                <w:sz w:val="24"/>
              </w:rPr>
              <w:t>。</w:t>
            </w:r>
            <w:r>
              <w:rPr>
                <w:bCs/>
                <w:color w:val="000000"/>
                <w:sz w:val="24"/>
              </w:rPr>
              <w:t>本项目超声波焊接时温度为200~250℃之间，在该温度下聚丙烯聚合物基本不分解，仅发生物理状态的变化，但原料中有少量未聚合的单体在高温下会有部分挥发出来，产生少量有机物，本</w:t>
            </w:r>
            <w:r>
              <w:rPr>
                <w:rFonts w:hint="eastAsia"/>
                <w:bCs/>
                <w:color w:val="000000"/>
                <w:sz w:val="24"/>
              </w:rPr>
              <w:t>次评价</w:t>
            </w:r>
            <w:r>
              <w:rPr>
                <w:bCs/>
                <w:color w:val="000000"/>
                <w:sz w:val="24"/>
              </w:rPr>
              <w:t>以非甲烷总烃计</w:t>
            </w:r>
            <w:r>
              <w:rPr>
                <w:rFonts w:hint="eastAsia"/>
                <w:bCs/>
                <w:color w:val="000000"/>
                <w:sz w:val="24"/>
              </w:rPr>
              <w:t>。</w:t>
            </w:r>
            <w:r>
              <w:rPr>
                <w:bCs/>
                <w:color w:val="000000"/>
                <w:sz w:val="24"/>
              </w:rPr>
              <w:t>根据《空气污染物排放和控制手册》（美国国家环保局）可知，在无控制措施时，</w:t>
            </w:r>
            <w:r>
              <w:rPr>
                <w:rFonts w:hint="eastAsia"/>
                <w:bCs/>
                <w:color w:val="000000"/>
                <w:sz w:val="24"/>
              </w:rPr>
              <w:t>污染物</w:t>
            </w:r>
            <w:r>
              <w:rPr>
                <w:bCs/>
                <w:color w:val="000000"/>
                <w:sz w:val="24"/>
              </w:rPr>
              <w:t>非甲烷总烃产生</w:t>
            </w:r>
            <w:r>
              <w:rPr>
                <w:rFonts w:hint="eastAsia"/>
                <w:bCs/>
                <w:color w:val="000000"/>
                <w:sz w:val="24"/>
              </w:rPr>
              <w:t>系数为</w:t>
            </w:r>
            <w:r>
              <w:rPr>
                <w:bCs/>
                <w:color w:val="000000"/>
                <w:sz w:val="24"/>
              </w:rPr>
              <w:t>0.35kg/t-</w:t>
            </w:r>
            <w:r>
              <w:rPr>
                <w:rFonts w:hint="eastAsia"/>
                <w:bCs/>
                <w:color w:val="000000"/>
                <w:sz w:val="24"/>
              </w:rPr>
              <w:t>原料</w:t>
            </w:r>
            <w:r>
              <w:rPr>
                <w:bCs/>
                <w:color w:val="000000"/>
                <w:sz w:val="24"/>
              </w:rPr>
              <w:t>。本项目仅需要在口罩四边成型、</w:t>
            </w:r>
            <w:r>
              <w:rPr>
                <w:rFonts w:hint="eastAsia"/>
                <w:bCs/>
                <w:color w:val="000000"/>
                <w:sz w:val="24"/>
              </w:rPr>
              <w:t>上</w:t>
            </w:r>
            <w:r>
              <w:rPr>
                <w:bCs/>
                <w:color w:val="000000"/>
                <w:sz w:val="24"/>
              </w:rPr>
              <w:t>带处进行超声波焊接，需超声波焊接的原料量仅为原料熔喷布、无纺布和耳带总量的5%，约为1.04t/a，则口罩成型、</w:t>
            </w:r>
            <w:r>
              <w:rPr>
                <w:rFonts w:hint="eastAsia"/>
                <w:bCs/>
                <w:color w:val="000000"/>
                <w:sz w:val="24"/>
              </w:rPr>
              <w:t>上带</w:t>
            </w:r>
            <w:r>
              <w:rPr>
                <w:bCs/>
                <w:color w:val="000000"/>
                <w:sz w:val="24"/>
              </w:rPr>
              <w:t>过程非甲烷总烃产生量约为0.0004t/a。因本项目口罩成型、</w:t>
            </w:r>
            <w:r>
              <w:rPr>
                <w:rFonts w:hint="eastAsia"/>
                <w:bCs/>
                <w:color w:val="000000"/>
                <w:sz w:val="24"/>
              </w:rPr>
              <w:t>上带</w:t>
            </w:r>
            <w:r>
              <w:rPr>
                <w:bCs/>
                <w:color w:val="000000"/>
                <w:sz w:val="24"/>
              </w:rPr>
              <w:t>过程产生的非甲烷总烃量很少，仅为0.4kg/a，且因口罩成型、焊接时因温度和工艺要求（四周不能有明显的空气流动），不宜采用收集处理的方式，因此采取无组织排放的形式。</w:t>
            </w:r>
            <w:r>
              <w:rPr>
                <w:rFonts w:hint="eastAsia"/>
                <w:bCs/>
                <w:color w:val="000000"/>
                <w:sz w:val="24"/>
              </w:rPr>
              <w:t>因此</w:t>
            </w:r>
            <w:r>
              <w:rPr>
                <w:bCs/>
                <w:color w:val="000000"/>
                <w:sz w:val="24"/>
              </w:rPr>
              <w:t>口罩成型、</w:t>
            </w:r>
            <w:r>
              <w:rPr>
                <w:rFonts w:hint="eastAsia"/>
                <w:bCs/>
                <w:color w:val="000000"/>
                <w:sz w:val="24"/>
              </w:rPr>
              <w:t>上带</w:t>
            </w:r>
            <w:r>
              <w:rPr>
                <w:bCs/>
                <w:color w:val="000000"/>
                <w:sz w:val="24"/>
              </w:rPr>
              <w:t>过程非甲烷总烃</w:t>
            </w:r>
            <w:r>
              <w:rPr>
                <w:rFonts w:hint="eastAsia"/>
                <w:bCs/>
                <w:color w:val="000000"/>
                <w:sz w:val="24"/>
              </w:rPr>
              <w:t>排放量</w:t>
            </w:r>
            <w:r>
              <w:rPr>
                <w:bCs/>
                <w:color w:val="000000"/>
                <w:sz w:val="24"/>
              </w:rPr>
              <w:t>约为0.0004t/a</w:t>
            </w:r>
            <w:r>
              <w:rPr>
                <w:rFonts w:hint="eastAsia"/>
                <w:bCs/>
                <w:color w:val="000000"/>
                <w:sz w:val="24"/>
              </w:rPr>
              <w:t>、</w:t>
            </w:r>
            <w:r>
              <w:rPr>
                <w:bCs/>
                <w:color w:val="000000"/>
                <w:sz w:val="24"/>
              </w:rPr>
              <w:t>排放速率为0.0001kg/h。</w:t>
            </w:r>
          </w:p>
          <w:p>
            <w:pPr>
              <w:widowControl/>
              <w:spacing w:line="460" w:lineRule="exact"/>
              <w:ind w:firstLine="480" w:firstLineChars="200"/>
              <w:jc w:val="left"/>
              <w:rPr>
                <w:color w:val="000000"/>
                <w:kern w:val="0"/>
                <w:sz w:val="24"/>
              </w:rPr>
            </w:pPr>
            <w:r>
              <w:rPr>
                <w:rFonts w:hint="eastAsia"/>
                <w:bCs/>
                <w:color w:val="000000"/>
                <w:sz w:val="24"/>
              </w:rPr>
              <w:t>综上，无组织废气污染物非甲烷总烃排放量为0</w:t>
            </w:r>
            <w:r>
              <w:rPr>
                <w:bCs/>
                <w:color w:val="000000"/>
                <w:sz w:val="24"/>
              </w:rPr>
              <w:t>.0454t/a</w:t>
            </w:r>
            <w:r>
              <w:rPr>
                <w:rFonts w:hint="eastAsia"/>
                <w:bCs/>
                <w:color w:val="000000"/>
                <w:sz w:val="24"/>
              </w:rPr>
              <w:t>。</w:t>
            </w:r>
            <w:r>
              <w:rPr>
                <w:rFonts w:hint="eastAsia"/>
                <w:color w:val="000000"/>
                <w:kern w:val="0"/>
                <w:sz w:val="24"/>
              </w:rPr>
              <w:t>评价提出，企业需按照要求对解析室、生产车间进行密闭。车间顶部安装新风系统，使车间保持微负压；同时加强管控，生产时门窗及车间均按要求密闭，进一步削减厂区污染物排放。</w:t>
            </w:r>
          </w:p>
          <w:p>
            <w:pPr>
              <w:spacing w:line="460" w:lineRule="exact"/>
              <w:ind w:firstLine="482" w:firstLineChars="200"/>
              <w:jc w:val="left"/>
              <w:rPr>
                <w:b/>
                <w:bCs/>
                <w:color w:val="000000"/>
                <w:sz w:val="24"/>
              </w:rPr>
            </w:pPr>
            <w:r>
              <w:rPr>
                <w:rFonts w:hint="eastAsia"/>
                <w:b/>
                <w:bCs/>
                <w:color w:val="000000"/>
                <w:sz w:val="24"/>
              </w:rPr>
              <w:t>3、非正常排放分析</w:t>
            </w:r>
          </w:p>
          <w:p>
            <w:pPr>
              <w:adjustRightInd w:val="0"/>
              <w:snapToGrid w:val="0"/>
              <w:spacing w:line="460" w:lineRule="exact"/>
              <w:ind w:firstLine="480" w:firstLineChars="200"/>
              <w:rPr>
                <w:color w:val="000000"/>
                <w:sz w:val="24"/>
              </w:rPr>
            </w:pPr>
            <w:r>
              <w:rPr>
                <w:rFonts w:hint="eastAsia"/>
                <w:bCs/>
                <w:color w:val="000000"/>
                <w:sz w:val="24"/>
              </w:rPr>
              <w:t>项目产生的非正常排放主要是污染物排放控制措施达不到应有效率时引起的污染物超标排放，评价以最不利原则按照污染物治理措施处理效率为0时的情况进行分析。本项目非正常工况为：水喷淋装置故障时：项目非正常排放废气源强为非甲烷总烃1</w:t>
            </w:r>
            <w:r>
              <w:rPr>
                <w:bCs/>
                <w:color w:val="000000"/>
                <w:sz w:val="24"/>
              </w:rPr>
              <w:t>.5268</w:t>
            </w:r>
            <w:r>
              <w:rPr>
                <w:rFonts w:hint="eastAsia"/>
                <w:bCs/>
                <w:color w:val="000000"/>
                <w:sz w:val="24"/>
              </w:rPr>
              <w:t>kg/h。事故排放时间最大为15分钟。非正常排放具体参数见下表。</w:t>
            </w:r>
          </w:p>
          <w:p>
            <w:pPr>
              <w:adjustRightInd w:val="0"/>
              <w:snapToGrid w:val="0"/>
              <w:spacing w:line="520" w:lineRule="exact"/>
              <w:ind w:firstLine="480" w:firstLineChars="200"/>
              <w:rPr>
                <w:rFonts w:eastAsia="黑体"/>
                <w:color w:val="000000"/>
                <w:sz w:val="24"/>
                <w:szCs w:val="22"/>
              </w:rPr>
            </w:pPr>
            <w:r>
              <w:rPr>
                <w:rFonts w:eastAsia="黑体"/>
                <w:color w:val="000000"/>
                <w:sz w:val="24"/>
                <w:szCs w:val="22"/>
              </w:rPr>
              <w:t xml:space="preserve">表28               </w:t>
            </w:r>
            <w:r>
              <w:rPr>
                <w:rFonts w:hint="eastAsia" w:eastAsia="黑体"/>
                <w:color w:val="000000"/>
                <w:sz w:val="24"/>
                <w:szCs w:val="22"/>
              </w:rPr>
              <w:t xml:space="preserve">   非正常排放参数表</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5"/>
              <w:gridCol w:w="1559"/>
              <w:gridCol w:w="567"/>
              <w:gridCol w:w="1134"/>
              <w:gridCol w:w="992"/>
              <w:gridCol w:w="851"/>
              <w:gridCol w:w="1134"/>
              <w:gridCol w:w="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35" w:type="dxa"/>
                  <w:shd w:val="clear" w:color="auto" w:fill="auto"/>
                  <w:vAlign w:val="center"/>
                </w:tcPr>
                <w:p>
                  <w:pPr>
                    <w:jc w:val="center"/>
                    <w:rPr>
                      <w:b/>
                      <w:color w:val="000000"/>
                      <w:szCs w:val="21"/>
                    </w:rPr>
                  </w:pPr>
                  <w:r>
                    <w:rPr>
                      <w:rFonts w:hint="eastAsia"/>
                      <w:b/>
                      <w:color w:val="000000"/>
                      <w:szCs w:val="21"/>
                    </w:rPr>
                    <w:t>非正常排放源</w:t>
                  </w:r>
                </w:p>
              </w:tc>
              <w:tc>
                <w:tcPr>
                  <w:tcW w:w="1559" w:type="dxa"/>
                  <w:shd w:val="clear" w:color="auto" w:fill="auto"/>
                  <w:vAlign w:val="center"/>
                </w:tcPr>
                <w:p>
                  <w:pPr>
                    <w:jc w:val="center"/>
                    <w:rPr>
                      <w:b/>
                      <w:color w:val="000000"/>
                      <w:szCs w:val="21"/>
                    </w:rPr>
                  </w:pPr>
                  <w:r>
                    <w:rPr>
                      <w:rFonts w:hint="eastAsia"/>
                      <w:b/>
                      <w:color w:val="000000"/>
                      <w:szCs w:val="21"/>
                    </w:rPr>
                    <w:t>非正常排放原因</w:t>
                  </w:r>
                </w:p>
              </w:tc>
              <w:tc>
                <w:tcPr>
                  <w:tcW w:w="567" w:type="dxa"/>
                  <w:shd w:val="clear" w:color="auto" w:fill="auto"/>
                  <w:vAlign w:val="center"/>
                </w:tcPr>
                <w:p>
                  <w:pPr>
                    <w:jc w:val="center"/>
                    <w:rPr>
                      <w:b/>
                      <w:color w:val="000000"/>
                      <w:szCs w:val="21"/>
                    </w:rPr>
                  </w:pPr>
                  <w:r>
                    <w:rPr>
                      <w:rFonts w:hint="eastAsia"/>
                      <w:b/>
                      <w:color w:val="000000"/>
                      <w:szCs w:val="21"/>
                    </w:rPr>
                    <w:t>污染物</w:t>
                  </w:r>
                </w:p>
              </w:tc>
              <w:tc>
                <w:tcPr>
                  <w:tcW w:w="1134" w:type="dxa"/>
                  <w:shd w:val="clear" w:color="auto" w:fill="auto"/>
                  <w:vAlign w:val="center"/>
                </w:tcPr>
                <w:p>
                  <w:pPr>
                    <w:jc w:val="center"/>
                    <w:rPr>
                      <w:b/>
                      <w:color w:val="000000"/>
                      <w:szCs w:val="21"/>
                    </w:rPr>
                  </w:pPr>
                  <w:r>
                    <w:rPr>
                      <w:rFonts w:hint="eastAsia"/>
                      <w:b/>
                      <w:color w:val="000000"/>
                      <w:szCs w:val="21"/>
                    </w:rPr>
                    <w:t>非正常排放速率/(kg/h)</w:t>
                  </w:r>
                </w:p>
              </w:tc>
              <w:tc>
                <w:tcPr>
                  <w:tcW w:w="992" w:type="dxa"/>
                  <w:shd w:val="clear" w:color="auto" w:fill="auto"/>
                  <w:vAlign w:val="center"/>
                </w:tcPr>
                <w:p>
                  <w:pPr>
                    <w:jc w:val="center"/>
                    <w:rPr>
                      <w:b/>
                      <w:color w:val="000000"/>
                      <w:szCs w:val="21"/>
                    </w:rPr>
                  </w:pPr>
                  <w:r>
                    <w:rPr>
                      <w:rFonts w:hint="eastAsia"/>
                      <w:b/>
                      <w:color w:val="000000"/>
                      <w:szCs w:val="21"/>
                    </w:rPr>
                    <w:t>单次持续时间/h</w:t>
                  </w:r>
                </w:p>
              </w:tc>
              <w:tc>
                <w:tcPr>
                  <w:tcW w:w="851" w:type="dxa"/>
                  <w:shd w:val="clear" w:color="auto" w:fill="auto"/>
                  <w:vAlign w:val="center"/>
                </w:tcPr>
                <w:p>
                  <w:pPr>
                    <w:jc w:val="center"/>
                    <w:rPr>
                      <w:b/>
                      <w:color w:val="000000"/>
                      <w:szCs w:val="21"/>
                    </w:rPr>
                  </w:pPr>
                  <w:r>
                    <w:rPr>
                      <w:rFonts w:hint="eastAsia"/>
                      <w:b/>
                      <w:color w:val="000000"/>
                      <w:szCs w:val="21"/>
                    </w:rPr>
                    <w:t>年发生频次/次</w:t>
                  </w:r>
                </w:p>
              </w:tc>
              <w:tc>
                <w:tcPr>
                  <w:tcW w:w="1134" w:type="dxa"/>
                  <w:shd w:val="clear" w:color="auto" w:fill="auto"/>
                  <w:vAlign w:val="center"/>
                </w:tcPr>
                <w:p>
                  <w:pPr>
                    <w:jc w:val="center"/>
                    <w:rPr>
                      <w:b/>
                      <w:color w:val="000000"/>
                      <w:szCs w:val="21"/>
                    </w:rPr>
                  </w:pPr>
                  <w:r>
                    <w:rPr>
                      <w:rFonts w:hint="eastAsia"/>
                      <w:b/>
                      <w:color w:val="000000"/>
                      <w:szCs w:val="21"/>
                    </w:rPr>
                    <w:t>非正常排放量/(kg/a)</w:t>
                  </w:r>
                </w:p>
              </w:tc>
              <w:tc>
                <w:tcPr>
                  <w:tcW w:w="974" w:type="dxa"/>
                  <w:shd w:val="clear" w:color="auto" w:fill="auto"/>
                  <w:vAlign w:val="center"/>
                </w:tcPr>
                <w:p>
                  <w:pPr>
                    <w:jc w:val="center"/>
                    <w:rPr>
                      <w:b/>
                      <w:color w:val="000000"/>
                      <w:szCs w:val="21"/>
                    </w:rPr>
                  </w:pPr>
                  <w:r>
                    <w:rPr>
                      <w:rFonts w:hint="eastAsia"/>
                      <w:b/>
                      <w:color w:val="000000"/>
                      <w:szCs w:val="21"/>
                    </w:rPr>
                    <w:t>采取措施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35" w:type="dxa"/>
                  <w:shd w:val="clear" w:color="auto" w:fill="auto"/>
                  <w:vAlign w:val="center"/>
                </w:tcPr>
                <w:p>
                  <w:pPr>
                    <w:autoSpaceDE w:val="0"/>
                    <w:autoSpaceDN w:val="0"/>
                    <w:adjustRightInd w:val="0"/>
                    <w:snapToGrid w:val="0"/>
                    <w:jc w:val="center"/>
                    <w:rPr>
                      <w:color w:val="000000"/>
                      <w:szCs w:val="21"/>
                    </w:rPr>
                  </w:pPr>
                  <w:r>
                    <w:rPr>
                      <w:rFonts w:hint="eastAsia"/>
                      <w:color w:val="000000"/>
                      <w:szCs w:val="21"/>
                    </w:rPr>
                    <w:t>水喷淋装置</w:t>
                  </w:r>
                </w:p>
              </w:tc>
              <w:tc>
                <w:tcPr>
                  <w:tcW w:w="1559" w:type="dxa"/>
                  <w:shd w:val="clear" w:color="auto" w:fill="auto"/>
                  <w:vAlign w:val="center"/>
                </w:tcPr>
                <w:p>
                  <w:pPr>
                    <w:jc w:val="center"/>
                    <w:rPr>
                      <w:color w:val="000000"/>
                      <w:szCs w:val="21"/>
                    </w:rPr>
                  </w:pPr>
                  <w:r>
                    <w:rPr>
                      <w:rFonts w:hint="eastAsia"/>
                      <w:color w:val="000000"/>
                      <w:szCs w:val="21"/>
                    </w:rPr>
                    <w:t>污染物排放控制措施达不到应有效率，处理效率为0</w:t>
                  </w:r>
                </w:p>
              </w:tc>
              <w:tc>
                <w:tcPr>
                  <w:tcW w:w="567" w:type="dxa"/>
                  <w:shd w:val="clear" w:color="auto" w:fill="auto"/>
                  <w:vAlign w:val="center"/>
                </w:tcPr>
                <w:p>
                  <w:pPr>
                    <w:jc w:val="center"/>
                    <w:rPr>
                      <w:color w:val="000000"/>
                      <w:szCs w:val="21"/>
                      <w:lang w:val="pt-BR"/>
                    </w:rPr>
                  </w:pPr>
                  <w:r>
                    <w:rPr>
                      <w:rFonts w:hint="eastAsia"/>
                      <w:color w:val="000000"/>
                      <w:szCs w:val="21"/>
                      <w:lang w:val="pt-BR"/>
                    </w:rPr>
                    <w:t>非甲烷总烃</w:t>
                  </w:r>
                </w:p>
              </w:tc>
              <w:tc>
                <w:tcPr>
                  <w:tcW w:w="1134" w:type="dxa"/>
                  <w:shd w:val="clear" w:color="auto" w:fill="auto"/>
                  <w:vAlign w:val="center"/>
                </w:tcPr>
                <w:p>
                  <w:pPr>
                    <w:jc w:val="center"/>
                    <w:rPr>
                      <w:color w:val="000000"/>
                      <w:szCs w:val="21"/>
                    </w:rPr>
                  </w:pPr>
                  <w:r>
                    <w:rPr>
                      <w:rFonts w:hint="eastAsia"/>
                      <w:color w:val="000000"/>
                      <w:szCs w:val="21"/>
                    </w:rPr>
                    <w:t>1</w:t>
                  </w:r>
                  <w:r>
                    <w:rPr>
                      <w:color w:val="000000"/>
                      <w:szCs w:val="21"/>
                    </w:rPr>
                    <w:t>.5268</w:t>
                  </w:r>
                </w:p>
              </w:tc>
              <w:tc>
                <w:tcPr>
                  <w:tcW w:w="992" w:type="dxa"/>
                  <w:shd w:val="clear" w:color="auto" w:fill="auto"/>
                  <w:vAlign w:val="center"/>
                </w:tcPr>
                <w:p>
                  <w:pPr>
                    <w:jc w:val="center"/>
                    <w:rPr>
                      <w:color w:val="000000"/>
                      <w:szCs w:val="21"/>
                    </w:rPr>
                  </w:pPr>
                  <w:r>
                    <w:rPr>
                      <w:rFonts w:hint="eastAsia"/>
                      <w:color w:val="000000"/>
                      <w:szCs w:val="21"/>
                    </w:rPr>
                    <w:t>0.25</w:t>
                  </w:r>
                </w:p>
              </w:tc>
              <w:tc>
                <w:tcPr>
                  <w:tcW w:w="851" w:type="dxa"/>
                  <w:shd w:val="clear" w:color="auto" w:fill="auto"/>
                  <w:vAlign w:val="center"/>
                </w:tcPr>
                <w:p>
                  <w:pPr>
                    <w:jc w:val="center"/>
                    <w:rPr>
                      <w:color w:val="000000"/>
                      <w:szCs w:val="21"/>
                    </w:rPr>
                  </w:pPr>
                  <w:r>
                    <w:rPr>
                      <w:rFonts w:hint="eastAsia"/>
                      <w:color w:val="000000"/>
                      <w:szCs w:val="21"/>
                    </w:rPr>
                    <w:t>1</w:t>
                  </w:r>
                </w:p>
              </w:tc>
              <w:tc>
                <w:tcPr>
                  <w:tcW w:w="1134" w:type="dxa"/>
                  <w:shd w:val="clear" w:color="auto" w:fill="auto"/>
                  <w:vAlign w:val="center"/>
                </w:tcPr>
                <w:p>
                  <w:pPr>
                    <w:jc w:val="center"/>
                    <w:rPr>
                      <w:color w:val="000000"/>
                      <w:szCs w:val="21"/>
                    </w:rPr>
                  </w:pPr>
                  <w:r>
                    <w:rPr>
                      <w:rFonts w:hint="eastAsia"/>
                      <w:color w:val="000000"/>
                      <w:szCs w:val="21"/>
                    </w:rPr>
                    <w:t>0</w:t>
                  </w:r>
                  <w:r>
                    <w:rPr>
                      <w:color w:val="000000"/>
                      <w:szCs w:val="21"/>
                    </w:rPr>
                    <w:t>.3817</w:t>
                  </w:r>
                </w:p>
              </w:tc>
              <w:tc>
                <w:tcPr>
                  <w:tcW w:w="974" w:type="dxa"/>
                  <w:shd w:val="clear" w:color="auto" w:fill="auto"/>
                  <w:vAlign w:val="center"/>
                </w:tcPr>
                <w:p>
                  <w:pPr>
                    <w:jc w:val="center"/>
                    <w:rPr>
                      <w:color w:val="000000"/>
                      <w:szCs w:val="21"/>
                    </w:rPr>
                  </w:pPr>
                  <w:r>
                    <w:rPr>
                      <w:rFonts w:hint="eastAsia"/>
                      <w:color w:val="000000"/>
                      <w:szCs w:val="21"/>
                    </w:rPr>
                    <w:t>产生废气的工序及时停止运行</w:t>
                  </w:r>
                </w:p>
              </w:tc>
            </w:tr>
          </w:tbl>
          <w:p>
            <w:pPr>
              <w:spacing w:line="460" w:lineRule="exact"/>
              <w:ind w:firstLine="482" w:firstLineChars="200"/>
              <w:rPr>
                <w:b/>
                <w:color w:val="000000"/>
                <w:sz w:val="24"/>
              </w:rPr>
            </w:pPr>
            <w:r>
              <w:rPr>
                <w:rFonts w:hint="eastAsia"/>
                <w:b/>
                <w:color w:val="000000"/>
                <w:sz w:val="24"/>
              </w:rPr>
              <w:t>4、大气污染防治措施分析</w:t>
            </w:r>
          </w:p>
          <w:p>
            <w:pPr>
              <w:adjustRightInd w:val="0"/>
              <w:snapToGrid w:val="0"/>
              <w:spacing w:line="460" w:lineRule="exact"/>
              <w:ind w:firstLine="480" w:firstLineChars="200"/>
              <w:rPr>
                <w:color w:val="000000"/>
                <w:sz w:val="24"/>
              </w:rPr>
            </w:pPr>
            <w:r>
              <w:rPr>
                <w:rFonts w:hint="eastAsia"/>
                <w:bCs/>
                <w:color w:val="000000"/>
                <w:sz w:val="24"/>
              </w:rPr>
              <w:t>本项目灭菌工序采用环氧乙烷灭菌。环氧乙烷为易燃易爆气体，极易溶于水、可以与水以任意比例互溶，考虑到环氧乙烷气体可能危害周围环境、造成人体伤害，评价建议企业灭菌柜密闭，并连接负压密闭管道收集非甲烷总烃（表征环氧乙烷），将废气引至水喷淋装置处理，最后经1根1</w:t>
            </w:r>
            <w:r>
              <w:rPr>
                <w:bCs/>
                <w:color w:val="000000"/>
                <w:sz w:val="24"/>
              </w:rPr>
              <w:t>5m</w:t>
            </w:r>
            <w:r>
              <w:rPr>
                <w:rFonts w:hint="eastAsia"/>
                <w:bCs/>
                <w:color w:val="000000"/>
                <w:sz w:val="24"/>
              </w:rPr>
              <w:t>高排气筒P</w:t>
            </w:r>
            <w:r>
              <w:rPr>
                <w:bCs/>
                <w:color w:val="000000"/>
                <w:sz w:val="24"/>
              </w:rPr>
              <w:t>2</w:t>
            </w:r>
            <w:r>
              <w:rPr>
                <w:rFonts w:hint="eastAsia"/>
                <w:bCs/>
                <w:color w:val="000000"/>
                <w:sz w:val="24"/>
              </w:rPr>
              <w:t>排放</w:t>
            </w:r>
            <w:r>
              <w:rPr>
                <w:bCs/>
                <w:color w:val="000000"/>
                <w:sz w:val="24"/>
              </w:rPr>
              <w:t>，并定期检查运行情况，保证</w:t>
            </w:r>
            <w:r>
              <w:rPr>
                <w:rFonts w:hint="eastAsia"/>
                <w:bCs/>
                <w:color w:val="000000"/>
                <w:sz w:val="24"/>
              </w:rPr>
              <w:t>水</w:t>
            </w:r>
            <w:r>
              <w:rPr>
                <w:bCs/>
                <w:color w:val="000000"/>
                <w:sz w:val="24"/>
              </w:rPr>
              <w:t>喷淋</w:t>
            </w:r>
            <w:r>
              <w:rPr>
                <w:rFonts w:hint="eastAsia"/>
                <w:bCs/>
                <w:color w:val="000000"/>
                <w:sz w:val="24"/>
              </w:rPr>
              <w:t>装置</w:t>
            </w:r>
            <w:r>
              <w:rPr>
                <w:bCs/>
                <w:color w:val="000000"/>
                <w:sz w:val="24"/>
              </w:rPr>
              <w:t>的处理效果</w:t>
            </w:r>
            <w:r>
              <w:rPr>
                <w:rFonts w:hint="eastAsia"/>
                <w:bCs/>
                <w:color w:val="000000"/>
                <w:sz w:val="24"/>
              </w:rPr>
              <w:t>。</w:t>
            </w:r>
          </w:p>
          <w:p>
            <w:pPr>
              <w:spacing w:line="460" w:lineRule="exact"/>
              <w:ind w:firstLine="482" w:firstLineChars="200"/>
              <w:rPr>
                <w:b/>
                <w:color w:val="000000"/>
                <w:sz w:val="24"/>
              </w:rPr>
            </w:pPr>
            <w:r>
              <w:rPr>
                <w:b/>
                <w:color w:val="000000"/>
                <w:sz w:val="24"/>
              </w:rPr>
              <w:t>5、</w:t>
            </w:r>
            <w:r>
              <w:rPr>
                <w:rFonts w:hint="eastAsia"/>
                <w:b/>
                <w:color w:val="000000"/>
                <w:sz w:val="24"/>
              </w:rPr>
              <w:t>大气环境影响分析</w:t>
            </w:r>
          </w:p>
          <w:p>
            <w:pPr>
              <w:adjustRightInd w:val="0"/>
              <w:snapToGrid w:val="0"/>
              <w:spacing w:line="460" w:lineRule="exact"/>
              <w:ind w:firstLine="480" w:firstLineChars="200"/>
              <w:rPr>
                <w:color w:val="000000"/>
                <w:sz w:val="24"/>
              </w:rPr>
            </w:pPr>
            <w:r>
              <w:rPr>
                <w:rFonts w:hint="eastAsia"/>
                <w:bCs/>
                <w:color w:val="000000"/>
                <w:sz w:val="24"/>
              </w:rPr>
              <w:t>项目所在区域属于空气环境质量未达标区，项目产生的大气污染物通过削减区域现有污染源排放量进行替代。项目厂区周边最近的大气环境敏感点为东南9</w:t>
            </w:r>
            <w:r>
              <w:rPr>
                <w:bCs/>
                <w:color w:val="000000"/>
                <w:sz w:val="24"/>
              </w:rPr>
              <w:t>30</w:t>
            </w:r>
            <w:r>
              <w:rPr>
                <w:rFonts w:hint="eastAsia"/>
                <w:bCs/>
                <w:color w:val="000000"/>
                <w:sz w:val="24"/>
              </w:rPr>
              <w:t>米外的夹河村。</w:t>
            </w:r>
            <w:r>
              <w:rPr>
                <w:rFonts w:hint="eastAsia"/>
                <w:bCs/>
                <w:spacing w:val="-10"/>
                <w:sz w:val="24"/>
              </w:rPr>
              <w:t>非甲烷总烃有组织排放量0</w:t>
            </w:r>
            <w:r>
              <w:rPr>
                <w:bCs/>
                <w:spacing w:val="-10"/>
                <w:sz w:val="24"/>
              </w:rPr>
              <w:t>.0855 t/a</w:t>
            </w:r>
            <w:r>
              <w:rPr>
                <w:rFonts w:hint="eastAsia"/>
                <w:bCs/>
                <w:spacing w:val="-10"/>
                <w:sz w:val="24"/>
              </w:rPr>
              <w:t>、有组织排放速率0</w:t>
            </w:r>
            <w:r>
              <w:rPr>
                <w:bCs/>
                <w:spacing w:val="-10"/>
                <w:sz w:val="24"/>
              </w:rPr>
              <w:t>.1527 kg/h</w:t>
            </w:r>
            <w:r>
              <w:rPr>
                <w:rFonts w:hint="eastAsia"/>
                <w:bCs/>
                <w:spacing w:val="-10"/>
                <w:sz w:val="24"/>
              </w:rPr>
              <w:t>、有组织排放浓度3</w:t>
            </w:r>
            <w:r>
              <w:rPr>
                <w:bCs/>
                <w:spacing w:val="-10"/>
                <w:sz w:val="24"/>
              </w:rPr>
              <w:t>8.2 mg/m</w:t>
            </w:r>
            <w:r>
              <w:rPr>
                <w:bCs/>
                <w:spacing w:val="-10"/>
                <w:sz w:val="24"/>
                <w:vertAlign w:val="superscript"/>
              </w:rPr>
              <w:t>3</w:t>
            </w:r>
            <w:r>
              <w:rPr>
                <w:rFonts w:hint="eastAsia"/>
                <w:bCs/>
                <w:spacing w:val="-10"/>
                <w:sz w:val="24"/>
              </w:rPr>
              <w:t>，</w:t>
            </w:r>
            <w:r>
              <w:rPr>
                <w:color w:val="000000"/>
                <w:sz w:val="24"/>
              </w:rPr>
              <w:t>满足</w:t>
            </w:r>
            <w:r>
              <w:rPr>
                <w:rFonts w:hint="eastAsia"/>
                <w:bCs/>
                <w:color w:val="000000"/>
                <w:sz w:val="24"/>
              </w:rPr>
              <w:t>《关于全省开展工业企业挥发性有机物专项治理工作中排放建议值的通知》（豫环攻坚办（2</w:t>
            </w:r>
            <w:r>
              <w:rPr>
                <w:bCs/>
                <w:color w:val="000000"/>
                <w:sz w:val="24"/>
              </w:rPr>
              <w:t>017</w:t>
            </w:r>
            <w:r>
              <w:rPr>
                <w:rFonts w:hint="eastAsia"/>
                <w:bCs/>
                <w:color w:val="000000"/>
                <w:sz w:val="24"/>
              </w:rPr>
              <w:t>）1</w:t>
            </w:r>
            <w:r>
              <w:rPr>
                <w:bCs/>
                <w:color w:val="000000"/>
                <w:sz w:val="24"/>
              </w:rPr>
              <w:t>62</w:t>
            </w:r>
            <w:r>
              <w:rPr>
                <w:rFonts w:hint="eastAsia"/>
                <w:bCs/>
                <w:color w:val="000000"/>
                <w:sz w:val="24"/>
              </w:rPr>
              <w:t>号）附件1医药制造工业</w:t>
            </w:r>
            <w:r>
              <w:rPr>
                <w:color w:val="000000"/>
                <w:sz w:val="24"/>
              </w:rPr>
              <w:t>中</w:t>
            </w:r>
            <w:r>
              <w:rPr>
                <w:rFonts w:hint="eastAsia"/>
                <w:color w:val="000000"/>
                <w:sz w:val="24"/>
              </w:rPr>
              <w:t>非甲烷总烃</w:t>
            </w:r>
            <w:r>
              <w:rPr>
                <w:color w:val="000000"/>
                <w:sz w:val="24"/>
              </w:rPr>
              <w:t>有组织排放60mg/m</w:t>
            </w:r>
            <w:r>
              <w:rPr>
                <w:color w:val="000000"/>
                <w:sz w:val="24"/>
                <w:vertAlign w:val="superscript"/>
              </w:rPr>
              <w:t>3</w:t>
            </w:r>
            <w:r>
              <w:rPr>
                <w:color w:val="000000"/>
                <w:sz w:val="24"/>
              </w:rPr>
              <w:t>的限值要求</w:t>
            </w:r>
            <w:r>
              <w:rPr>
                <w:rFonts w:hint="eastAsia"/>
                <w:color w:val="000000"/>
                <w:sz w:val="24"/>
              </w:rPr>
              <w:t>。</w:t>
            </w:r>
            <w:r>
              <w:rPr>
                <w:rFonts w:hint="eastAsia"/>
                <w:bCs/>
                <w:color w:val="000000"/>
                <w:sz w:val="24"/>
              </w:rPr>
              <w:t>在项目大气污染物非甲烷总烃能够满足《关于全省开展工业企业挥发性有机物专项治理工作中排放建议值的通知》（豫环攻坚办（2</w:t>
            </w:r>
            <w:r>
              <w:rPr>
                <w:bCs/>
                <w:color w:val="000000"/>
                <w:sz w:val="24"/>
              </w:rPr>
              <w:t>017</w:t>
            </w:r>
            <w:r>
              <w:rPr>
                <w:rFonts w:hint="eastAsia"/>
                <w:bCs/>
                <w:color w:val="000000"/>
                <w:sz w:val="24"/>
              </w:rPr>
              <w:t>）1</w:t>
            </w:r>
            <w:r>
              <w:rPr>
                <w:bCs/>
                <w:color w:val="000000"/>
                <w:sz w:val="24"/>
              </w:rPr>
              <w:t>62</w:t>
            </w:r>
            <w:r>
              <w:rPr>
                <w:rFonts w:hint="eastAsia"/>
                <w:bCs/>
                <w:color w:val="000000"/>
                <w:sz w:val="24"/>
              </w:rPr>
              <w:t>号）要求下，通过区域削减和污染物扩散，不会对周边环境造成明显影响。</w:t>
            </w:r>
          </w:p>
          <w:p>
            <w:pPr>
              <w:adjustRightInd w:val="0"/>
              <w:snapToGrid w:val="0"/>
              <w:spacing w:line="460" w:lineRule="exact"/>
              <w:ind w:firstLine="480" w:firstLineChars="200"/>
              <w:rPr>
                <w:color w:val="000000"/>
                <w:sz w:val="24"/>
              </w:rPr>
            </w:pPr>
            <w:r>
              <w:rPr>
                <w:rFonts w:hint="eastAsia"/>
                <w:bCs/>
                <w:color w:val="000000"/>
                <w:sz w:val="24"/>
              </w:rPr>
              <w:t>综上所述，评价认为项目建成运行过程中对周围大气环境影响可以接受。</w:t>
            </w:r>
          </w:p>
          <w:p>
            <w:pPr>
              <w:spacing w:line="460" w:lineRule="exact"/>
              <w:ind w:firstLine="482" w:firstLineChars="200"/>
              <w:rPr>
                <w:b/>
                <w:color w:val="000000"/>
                <w:sz w:val="24"/>
              </w:rPr>
            </w:pPr>
            <w:r>
              <w:rPr>
                <w:b/>
                <w:color w:val="000000"/>
                <w:sz w:val="24"/>
              </w:rPr>
              <w:t>6、废气污染物排放核算量</w:t>
            </w:r>
          </w:p>
          <w:p>
            <w:pPr>
              <w:spacing w:line="460" w:lineRule="exact"/>
              <w:ind w:firstLine="480" w:firstLineChars="200"/>
              <w:rPr>
                <w:b/>
                <w:color w:val="000000"/>
              </w:rPr>
            </w:pPr>
            <w:r>
              <w:rPr>
                <w:color w:val="000000"/>
                <w:sz w:val="24"/>
              </w:rPr>
              <w:t>6.1大气污染物有组织排放核算</w:t>
            </w:r>
          </w:p>
          <w:p>
            <w:pPr>
              <w:adjustRightInd w:val="0"/>
              <w:snapToGrid w:val="0"/>
              <w:spacing w:line="460" w:lineRule="exact"/>
              <w:ind w:firstLine="480" w:firstLineChars="200"/>
              <w:rPr>
                <w:rFonts w:eastAsia="黑体"/>
                <w:color w:val="000000"/>
                <w:sz w:val="24"/>
              </w:rPr>
            </w:pPr>
            <w:r>
              <w:rPr>
                <w:rFonts w:eastAsia="黑体"/>
                <w:color w:val="000000"/>
                <w:sz w:val="24"/>
              </w:rPr>
              <w:t>表29            大气污染物有组织排放量核算表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3"/>
              <w:gridCol w:w="1155"/>
              <w:gridCol w:w="1128"/>
              <w:gridCol w:w="1715"/>
              <w:gridCol w:w="1713"/>
              <w:gridCol w:w="16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0" w:type="pct"/>
                  <w:vAlign w:val="center"/>
                </w:tcPr>
                <w:p>
                  <w:pPr>
                    <w:autoSpaceDE w:val="0"/>
                    <w:autoSpaceDN w:val="0"/>
                    <w:adjustRightInd w:val="0"/>
                    <w:snapToGrid w:val="0"/>
                    <w:jc w:val="center"/>
                    <w:rPr>
                      <w:b/>
                      <w:color w:val="000000"/>
                      <w:szCs w:val="21"/>
                    </w:rPr>
                  </w:pPr>
                  <w:r>
                    <w:rPr>
                      <w:b/>
                      <w:color w:val="000000"/>
                      <w:szCs w:val="21"/>
                    </w:rPr>
                    <w:t>序号</w:t>
                  </w:r>
                </w:p>
              </w:tc>
              <w:tc>
                <w:tcPr>
                  <w:tcW w:w="727" w:type="pct"/>
                  <w:vAlign w:val="center"/>
                </w:tcPr>
                <w:p>
                  <w:pPr>
                    <w:autoSpaceDE w:val="0"/>
                    <w:autoSpaceDN w:val="0"/>
                    <w:adjustRightInd w:val="0"/>
                    <w:snapToGrid w:val="0"/>
                    <w:jc w:val="center"/>
                    <w:rPr>
                      <w:b/>
                      <w:color w:val="000000"/>
                      <w:szCs w:val="21"/>
                    </w:rPr>
                  </w:pPr>
                  <w:r>
                    <w:rPr>
                      <w:b/>
                      <w:color w:val="000000"/>
                      <w:szCs w:val="21"/>
                    </w:rPr>
                    <w:t>排放口编号</w:t>
                  </w:r>
                </w:p>
              </w:tc>
              <w:tc>
                <w:tcPr>
                  <w:tcW w:w="710" w:type="pct"/>
                  <w:vAlign w:val="center"/>
                </w:tcPr>
                <w:p>
                  <w:pPr>
                    <w:autoSpaceDE w:val="0"/>
                    <w:autoSpaceDN w:val="0"/>
                    <w:adjustRightInd w:val="0"/>
                    <w:snapToGrid w:val="0"/>
                    <w:jc w:val="center"/>
                    <w:rPr>
                      <w:b/>
                      <w:color w:val="000000"/>
                      <w:szCs w:val="21"/>
                    </w:rPr>
                  </w:pPr>
                  <w:r>
                    <w:rPr>
                      <w:b/>
                      <w:color w:val="000000"/>
                      <w:szCs w:val="21"/>
                    </w:rPr>
                    <w:t>污染物</w:t>
                  </w:r>
                </w:p>
              </w:tc>
              <w:tc>
                <w:tcPr>
                  <w:tcW w:w="1079" w:type="pct"/>
                  <w:vAlign w:val="center"/>
                </w:tcPr>
                <w:p>
                  <w:pPr>
                    <w:autoSpaceDE w:val="0"/>
                    <w:autoSpaceDN w:val="0"/>
                    <w:adjustRightInd w:val="0"/>
                    <w:snapToGrid w:val="0"/>
                    <w:jc w:val="center"/>
                    <w:rPr>
                      <w:b/>
                      <w:color w:val="000000"/>
                      <w:szCs w:val="21"/>
                    </w:rPr>
                  </w:pPr>
                  <w:r>
                    <w:rPr>
                      <w:b/>
                      <w:color w:val="000000"/>
                      <w:szCs w:val="21"/>
                    </w:rPr>
                    <w:t>核算排放浓度/</w:t>
                  </w:r>
                </w:p>
                <w:p>
                  <w:pPr>
                    <w:autoSpaceDE w:val="0"/>
                    <w:autoSpaceDN w:val="0"/>
                    <w:adjustRightInd w:val="0"/>
                    <w:snapToGrid w:val="0"/>
                    <w:jc w:val="center"/>
                    <w:rPr>
                      <w:b/>
                      <w:color w:val="000000"/>
                      <w:szCs w:val="21"/>
                    </w:rPr>
                  </w:pPr>
                  <w:r>
                    <w:rPr>
                      <w:b/>
                      <w:color w:val="000000"/>
                      <w:szCs w:val="21"/>
                    </w:rPr>
                    <w:t>（mg/m</w:t>
                  </w:r>
                  <w:r>
                    <w:rPr>
                      <w:b/>
                      <w:color w:val="000000"/>
                      <w:szCs w:val="21"/>
                      <w:vertAlign w:val="superscript"/>
                    </w:rPr>
                    <w:t>3</w:t>
                  </w:r>
                  <w:r>
                    <w:rPr>
                      <w:b/>
                      <w:color w:val="000000"/>
                      <w:szCs w:val="21"/>
                    </w:rPr>
                    <w:t>）</w:t>
                  </w:r>
                </w:p>
              </w:tc>
              <w:tc>
                <w:tcPr>
                  <w:tcW w:w="1078" w:type="pct"/>
                  <w:vAlign w:val="center"/>
                </w:tcPr>
                <w:p>
                  <w:pPr>
                    <w:autoSpaceDE w:val="0"/>
                    <w:autoSpaceDN w:val="0"/>
                    <w:adjustRightInd w:val="0"/>
                    <w:snapToGrid w:val="0"/>
                    <w:jc w:val="center"/>
                    <w:rPr>
                      <w:b/>
                      <w:color w:val="000000"/>
                      <w:szCs w:val="21"/>
                    </w:rPr>
                  </w:pPr>
                  <w:r>
                    <w:rPr>
                      <w:b/>
                      <w:color w:val="000000"/>
                      <w:szCs w:val="21"/>
                    </w:rPr>
                    <w:t>核算排放速率/</w:t>
                  </w:r>
                </w:p>
                <w:p>
                  <w:pPr>
                    <w:autoSpaceDE w:val="0"/>
                    <w:autoSpaceDN w:val="0"/>
                    <w:adjustRightInd w:val="0"/>
                    <w:snapToGrid w:val="0"/>
                    <w:jc w:val="center"/>
                    <w:rPr>
                      <w:b/>
                      <w:color w:val="000000"/>
                      <w:szCs w:val="21"/>
                    </w:rPr>
                  </w:pPr>
                  <w:r>
                    <w:rPr>
                      <w:b/>
                      <w:color w:val="000000"/>
                      <w:szCs w:val="21"/>
                    </w:rPr>
                    <w:t>（kg/h）</w:t>
                  </w:r>
                </w:p>
              </w:tc>
              <w:tc>
                <w:tcPr>
                  <w:tcW w:w="1046" w:type="pct"/>
                  <w:vAlign w:val="center"/>
                </w:tcPr>
                <w:p>
                  <w:pPr>
                    <w:autoSpaceDE w:val="0"/>
                    <w:autoSpaceDN w:val="0"/>
                    <w:adjustRightInd w:val="0"/>
                    <w:snapToGrid w:val="0"/>
                    <w:jc w:val="center"/>
                    <w:rPr>
                      <w:b/>
                      <w:color w:val="000000"/>
                      <w:szCs w:val="21"/>
                    </w:rPr>
                  </w:pPr>
                  <w:r>
                    <w:rPr>
                      <w:b/>
                      <w:color w:val="000000"/>
                      <w:szCs w:val="21"/>
                    </w:rPr>
                    <w:t>核算年排放量/</w:t>
                  </w:r>
                </w:p>
                <w:p>
                  <w:pPr>
                    <w:autoSpaceDE w:val="0"/>
                    <w:autoSpaceDN w:val="0"/>
                    <w:adjustRightInd w:val="0"/>
                    <w:snapToGrid w:val="0"/>
                    <w:jc w:val="center"/>
                    <w:rPr>
                      <w:b/>
                      <w:color w:val="000000"/>
                      <w:szCs w:val="21"/>
                    </w:rPr>
                  </w:pPr>
                  <w:r>
                    <w:rPr>
                      <w:b/>
                      <w:color w:val="000000"/>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0" w:type="pct"/>
                  <w:vAlign w:val="center"/>
                </w:tcPr>
                <w:p>
                  <w:pPr>
                    <w:autoSpaceDE w:val="0"/>
                    <w:autoSpaceDN w:val="0"/>
                    <w:adjustRightInd w:val="0"/>
                    <w:snapToGrid w:val="0"/>
                    <w:jc w:val="center"/>
                    <w:rPr>
                      <w:color w:val="000000"/>
                      <w:szCs w:val="21"/>
                    </w:rPr>
                  </w:pPr>
                  <w:r>
                    <w:rPr>
                      <w:color w:val="000000"/>
                      <w:szCs w:val="21"/>
                    </w:rPr>
                    <w:t>1</w:t>
                  </w:r>
                </w:p>
              </w:tc>
              <w:tc>
                <w:tcPr>
                  <w:tcW w:w="727" w:type="pct"/>
                  <w:vAlign w:val="center"/>
                </w:tcPr>
                <w:p>
                  <w:pPr>
                    <w:autoSpaceDE w:val="0"/>
                    <w:autoSpaceDN w:val="0"/>
                    <w:adjustRightInd w:val="0"/>
                    <w:snapToGrid w:val="0"/>
                    <w:jc w:val="center"/>
                    <w:rPr>
                      <w:color w:val="000000"/>
                      <w:szCs w:val="21"/>
                    </w:rPr>
                  </w:pPr>
                  <w:r>
                    <w:rPr>
                      <w:color w:val="000000"/>
                      <w:szCs w:val="21"/>
                    </w:rPr>
                    <w:t>排气筒P2</w:t>
                  </w:r>
                </w:p>
              </w:tc>
              <w:tc>
                <w:tcPr>
                  <w:tcW w:w="710" w:type="pct"/>
                  <w:vAlign w:val="center"/>
                </w:tcPr>
                <w:p>
                  <w:pPr>
                    <w:jc w:val="center"/>
                    <w:rPr>
                      <w:color w:val="000000"/>
                      <w:szCs w:val="21"/>
                    </w:rPr>
                  </w:pPr>
                  <w:r>
                    <w:rPr>
                      <w:rFonts w:hint="eastAsia"/>
                      <w:color w:val="000000"/>
                      <w:szCs w:val="21"/>
                    </w:rPr>
                    <w:t>非甲烷总烃</w:t>
                  </w:r>
                </w:p>
              </w:tc>
              <w:tc>
                <w:tcPr>
                  <w:tcW w:w="1079" w:type="pct"/>
                  <w:vAlign w:val="center"/>
                </w:tcPr>
                <w:p>
                  <w:pPr>
                    <w:adjustRightInd w:val="0"/>
                    <w:snapToGrid w:val="0"/>
                    <w:jc w:val="center"/>
                    <w:textAlignment w:val="baseline"/>
                    <w:rPr>
                      <w:color w:val="000000"/>
                      <w:szCs w:val="21"/>
                    </w:rPr>
                  </w:pPr>
                  <w:r>
                    <w:rPr>
                      <w:color w:val="000000"/>
                      <w:szCs w:val="21"/>
                    </w:rPr>
                    <w:t>50.9</w:t>
                  </w:r>
                </w:p>
              </w:tc>
              <w:tc>
                <w:tcPr>
                  <w:tcW w:w="1078" w:type="pct"/>
                  <w:vAlign w:val="center"/>
                </w:tcPr>
                <w:p>
                  <w:pPr>
                    <w:adjustRightInd w:val="0"/>
                    <w:snapToGrid w:val="0"/>
                    <w:jc w:val="center"/>
                    <w:textAlignment w:val="baseline"/>
                    <w:rPr>
                      <w:color w:val="000000"/>
                      <w:szCs w:val="21"/>
                      <w:lang w:val="pt-BR"/>
                    </w:rPr>
                  </w:pPr>
                  <w:r>
                    <w:rPr>
                      <w:rFonts w:hint="eastAsia"/>
                      <w:color w:val="000000"/>
                      <w:szCs w:val="21"/>
                      <w:lang w:val="pt-BR"/>
                    </w:rPr>
                    <w:t>0</w:t>
                  </w:r>
                  <w:r>
                    <w:rPr>
                      <w:color w:val="000000"/>
                      <w:szCs w:val="21"/>
                      <w:lang w:val="pt-BR"/>
                    </w:rPr>
                    <w:t>.2545</w:t>
                  </w:r>
                </w:p>
              </w:tc>
              <w:tc>
                <w:tcPr>
                  <w:tcW w:w="1046" w:type="pct"/>
                  <w:vAlign w:val="center"/>
                </w:tcPr>
                <w:p>
                  <w:pPr>
                    <w:adjustRightInd w:val="0"/>
                    <w:snapToGrid w:val="0"/>
                    <w:jc w:val="center"/>
                    <w:textAlignment w:val="baseline"/>
                    <w:rPr>
                      <w:color w:val="000000"/>
                      <w:szCs w:val="21"/>
                      <w:lang w:val="pt-BR"/>
                    </w:rPr>
                  </w:pPr>
                  <w:r>
                    <w:rPr>
                      <w:rFonts w:hint="eastAsia"/>
                      <w:color w:val="000000"/>
                      <w:szCs w:val="21"/>
                      <w:lang w:val="pt-BR"/>
                    </w:rPr>
                    <w:t>0</w:t>
                  </w:r>
                  <w:r>
                    <w:rPr>
                      <w:color w:val="000000"/>
                      <w:szCs w:val="21"/>
                      <w:lang w:val="pt-BR"/>
                    </w:rPr>
                    <w:t>.0855</w:t>
                  </w:r>
                </w:p>
              </w:tc>
            </w:tr>
          </w:tbl>
          <w:p>
            <w:pPr>
              <w:adjustRightInd w:val="0"/>
              <w:snapToGrid w:val="0"/>
              <w:spacing w:line="460" w:lineRule="exact"/>
              <w:ind w:firstLine="480" w:firstLineChars="200"/>
              <w:rPr>
                <w:snapToGrid w:val="0"/>
                <w:color w:val="000000"/>
                <w:sz w:val="24"/>
              </w:rPr>
            </w:pPr>
            <w:r>
              <w:rPr>
                <w:snapToGrid w:val="0"/>
                <w:color w:val="000000"/>
                <w:sz w:val="24"/>
              </w:rPr>
              <w:t>6.2</w:t>
            </w:r>
            <w:r>
              <w:rPr>
                <w:color w:val="000000"/>
                <w:sz w:val="24"/>
              </w:rPr>
              <w:t>大气污染物</w:t>
            </w:r>
            <w:r>
              <w:rPr>
                <w:snapToGrid w:val="0"/>
                <w:color w:val="000000"/>
                <w:sz w:val="24"/>
              </w:rPr>
              <w:t>无组织排放量核算</w:t>
            </w:r>
          </w:p>
          <w:p>
            <w:pPr>
              <w:adjustRightInd w:val="0"/>
              <w:snapToGrid w:val="0"/>
              <w:spacing w:line="460" w:lineRule="exact"/>
              <w:ind w:firstLine="480" w:firstLineChars="200"/>
              <w:rPr>
                <w:rFonts w:eastAsia="黑体"/>
                <w:color w:val="000000"/>
                <w:sz w:val="24"/>
              </w:rPr>
            </w:pPr>
            <w:r>
              <w:rPr>
                <w:rFonts w:eastAsia="黑体"/>
                <w:color w:val="000000"/>
                <w:sz w:val="24"/>
              </w:rPr>
              <w:t>表30             大气污染物无组织排放量核算表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1"/>
              <w:gridCol w:w="637"/>
              <w:gridCol w:w="709"/>
              <w:gridCol w:w="709"/>
              <w:gridCol w:w="850"/>
              <w:gridCol w:w="2693"/>
              <w:gridCol w:w="1137"/>
              <w:gridCol w:w="8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restart"/>
                  <w:tcBorders>
                    <w:top w:val="single" w:color="auto" w:sz="8" w:space="0"/>
                    <w:left w:val="nil"/>
                  </w:tcBorders>
                  <w:vAlign w:val="center"/>
                </w:tcPr>
                <w:p>
                  <w:pPr>
                    <w:autoSpaceDE w:val="0"/>
                    <w:autoSpaceDN w:val="0"/>
                    <w:adjustRightInd w:val="0"/>
                    <w:snapToGrid w:val="0"/>
                    <w:jc w:val="center"/>
                    <w:rPr>
                      <w:b/>
                      <w:color w:val="000000"/>
                      <w:szCs w:val="21"/>
                    </w:rPr>
                  </w:pPr>
                  <w:r>
                    <w:rPr>
                      <w:b/>
                      <w:color w:val="000000"/>
                      <w:szCs w:val="21"/>
                    </w:rPr>
                    <w:t>序号</w:t>
                  </w:r>
                </w:p>
              </w:tc>
              <w:tc>
                <w:tcPr>
                  <w:tcW w:w="637" w:type="dxa"/>
                  <w:vMerge w:val="restart"/>
                  <w:tcBorders>
                    <w:top w:val="single" w:color="auto" w:sz="8" w:space="0"/>
                  </w:tcBorders>
                  <w:vAlign w:val="center"/>
                </w:tcPr>
                <w:p>
                  <w:pPr>
                    <w:autoSpaceDE w:val="0"/>
                    <w:autoSpaceDN w:val="0"/>
                    <w:adjustRightInd w:val="0"/>
                    <w:snapToGrid w:val="0"/>
                    <w:jc w:val="center"/>
                    <w:rPr>
                      <w:b/>
                      <w:color w:val="000000"/>
                      <w:szCs w:val="21"/>
                    </w:rPr>
                  </w:pPr>
                  <w:r>
                    <w:rPr>
                      <w:b/>
                      <w:color w:val="000000"/>
                      <w:szCs w:val="21"/>
                    </w:rPr>
                    <w:t>排放口编号</w:t>
                  </w:r>
                </w:p>
              </w:tc>
              <w:tc>
                <w:tcPr>
                  <w:tcW w:w="709" w:type="dxa"/>
                  <w:vMerge w:val="restart"/>
                  <w:tcBorders>
                    <w:top w:val="single" w:color="auto" w:sz="8" w:space="0"/>
                  </w:tcBorders>
                  <w:vAlign w:val="center"/>
                </w:tcPr>
                <w:p>
                  <w:pPr>
                    <w:autoSpaceDE w:val="0"/>
                    <w:autoSpaceDN w:val="0"/>
                    <w:adjustRightInd w:val="0"/>
                    <w:snapToGrid w:val="0"/>
                    <w:jc w:val="center"/>
                    <w:rPr>
                      <w:b/>
                      <w:color w:val="000000"/>
                      <w:szCs w:val="21"/>
                    </w:rPr>
                  </w:pPr>
                  <w:r>
                    <w:rPr>
                      <w:b/>
                      <w:color w:val="000000"/>
                      <w:szCs w:val="21"/>
                    </w:rPr>
                    <w:t>产污环节</w:t>
                  </w:r>
                </w:p>
              </w:tc>
              <w:tc>
                <w:tcPr>
                  <w:tcW w:w="709" w:type="dxa"/>
                  <w:vMerge w:val="restart"/>
                  <w:tcBorders>
                    <w:top w:val="single" w:color="auto" w:sz="8" w:space="0"/>
                  </w:tcBorders>
                  <w:vAlign w:val="center"/>
                </w:tcPr>
                <w:p>
                  <w:pPr>
                    <w:autoSpaceDE w:val="0"/>
                    <w:autoSpaceDN w:val="0"/>
                    <w:adjustRightInd w:val="0"/>
                    <w:snapToGrid w:val="0"/>
                    <w:jc w:val="center"/>
                    <w:rPr>
                      <w:b/>
                      <w:color w:val="000000"/>
                      <w:szCs w:val="21"/>
                    </w:rPr>
                  </w:pPr>
                  <w:r>
                    <w:rPr>
                      <w:b/>
                      <w:color w:val="000000"/>
                      <w:szCs w:val="21"/>
                    </w:rPr>
                    <w:t>污染物</w:t>
                  </w:r>
                </w:p>
              </w:tc>
              <w:tc>
                <w:tcPr>
                  <w:tcW w:w="850" w:type="dxa"/>
                  <w:vMerge w:val="restart"/>
                  <w:tcBorders>
                    <w:top w:val="single" w:color="auto" w:sz="8" w:space="0"/>
                  </w:tcBorders>
                  <w:vAlign w:val="center"/>
                </w:tcPr>
                <w:p>
                  <w:pPr>
                    <w:autoSpaceDE w:val="0"/>
                    <w:autoSpaceDN w:val="0"/>
                    <w:adjustRightInd w:val="0"/>
                    <w:snapToGrid w:val="0"/>
                    <w:jc w:val="center"/>
                    <w:rPr>
                      <w:b/>
                      <w:color w:val="000000"/>
                      <w:szCs w:val="21"/>
                    </w:rPr>
                  </w:pPr>
                  <w:r>
                    <w:rPr>
                      <w:b/>
                      <w:color w:val="000000"/>
                      <w:szCs w:val="21"/>
                    </w:rPr>
                    <w:t>主要污染防治措施</w:t>
                  </w:r>
                </w:p>
              </w:tc>
              <w:tc>
                <w:tcPr>
                  <w:tcW w:w="3830" w:type="dxa"/>
                  <w:gridSpan w:val="2"/>
                  <w:tcBorders>
                    <w:top w:val="single" w:color="auto" w:sz="8" w:space="0"/>
                  </w:tcBorders>
                  <w:vAlign w:val="center"/>
                </w:tcPr>
                <w:p>
                  <w:pPr>
                    <w:autoSpaceDE w:val="0"/>
                    <w:autoSpaceDN w:val="0"/>
                    <w:adjustRightInd w:val="0"/>
                    <w:snapToGrid w:val="0"/>
                    <w:jc w:val="center"/>
                    <w:rPr>
                      <w:b/>
                      <w:color w:val="000000"/>
                      <w:szCs w:val="21"/>
                    </w:rPr>
                  </w:pPr>
                  <w:r>
                    <w:rPr>
                      <w:b/>
                      <w:color w:val="000000"/>
                      <w:szCs w:val="21"/>
                    </w:rPr>
                    <w:t>排放标准</w:t>
                  </w:r>
                </w:p>
              </w:tc>
              <w:tc>
                <w:tcPr>
                  <w:tcW w:w="830" w:type="dxa"/>
                  <w:vMerge w:val="restart"/>
                  <w:tcBorders>
                    <w:top w:val="single" w:color="auto" w:sz="8" w:space="0"/>
                    <w:right w:val="nil"/>
                  </w:tcBorders>
                  <w:vAlign w:val="center"/>
                </w:tcPr>
                <w:p>
                  <w:pPr>
                    <w:autoSpaceDE w:val="0"/>
                    <w:autoSpaceDN w:val="0"/>
                    <w:adjustRightInd w:val="0"/>
                    <w:snapToGrid w:val="0"/>
                    <w:jc w:val="center"/>
                    <w:rPr>
                      <w:b/>
                      <w:color w:val="000000"/>
                      <w:szCs w:val="21"/>
                      <w:highlight w:val="yellow"/>
                    </w:rPr>
                  </w:pPr>
                  <w:r>
                    <w:rPr>
                      <w:b/>
                      <w:color w:val="00000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continue"/>
                  <w:tcBorders>
                    <w:top w:val="single" w:color="auto" w:sz="8" w:space="0"/>
                    <w:left w:val="nil"/>
                    <w:bottom w:val="single" w:color="auto" w:sz="4" w:space="0"/>
                  </w:tcBorders>
                  <w:vAlign w:val="center"/>
                </w:tcPr>
                <w:p>
                  <w:pPr>
                    <w:jc w:val="center"/>
                    <w:rPr>
                      <w:b/>
                      <w:color w:val="000000"/>
                      <w:szCs w:val="21"/>
                    </w:rPr>
                  </w:pPr>
                </w:p>
              </w:tc>
              <w:tc>
                <w:tcPr>
                  <w:tcW w:w="637" w:type="dxa"/>
                  <w:vMerge w:val="continue"/>
                  <w:tcBorders>
                    <w:top w:val="single" w:color="auto" w:sz="8" w:space="0"/>
                    <w:bottom w:val="single" w:color="auto" w:sz="4" w:space="0"/>
                  </w:tcBorders>
                  <w:vAlign w:val="center"/>
                </w:tcPr>
                <w:p>
                  <w:pPr>
                    <w:jc w:val="center"/>
                    <w:rPr>
                      <w:b/>
                      <w:color w:val="000000"/>
                      <w:szCs w:val="21"/>
                    </w:rPr>
                  </w:pPr>
                </w:p>
              </w:tc>
              <w:tc>
                <w:tcPr>
                  <w:tcW w:w="709" w:type="dxa"/>
                  <w:vMerge w:val="continue"/>
                  <w:tcBorders>
                    <w:top w:val="single" w:color="auto" w:sz="8" w:space="0"/>
                    <w:bottom w:val="single" w:color="auto" w:sz="4" w:space="0"/>
                  </w:tcBorders>
                  <w:vAlign w:val="center"/>
                </w:tcPr>
                <w:p>
                  <w:pPr>
                    <w:jc w:val="center"/>
                    <w:rPr>
                      <w:b/>
                      <w:color w:val="000000"/>
                      <w:szCs w:val="21"/>
                    </w:rPr>
                  </w:pPr>
                </w:p>
              </w:tc>
              <w:tc>
                <w:tcPr>
                  <w:tcW w:w="709" w:type="dxa"/>
                  <w:vMerge w:val="continue"/>
                  <w:tcBorders>
                    <w:top w:val="single" w:color="auto" w:sz="8" w:space="0"/>
                    <w:bottom w:val="single" w:color="auto" w:sz="4" w:space="0"/>
                  </w:tcBorders>
                  <w:vAlign w:val="center"/>
                </w:tcPr>
                <w:p>
                  <w:pPr>
                    <w:jc w:val="center"/>
                    <w:rPr>
                      <w:b/>
                      <w:color w:val="000000"/>
                      <w:szCs w:val="21"/>
                    </w:rPr>
                  </w:pPr>
                </w:p>
              </w:tc>
              <w:tc>
                <w:tcPr>
                  <w:tcW w:w="850" w:type="dxa"/>
                  <w:vMerge w:val="continue"/>
                  <w:tcBorders>
                    <w:top w:val="single" w:color="auto" w:sz="8" w:space="0"/>
                    <w:bottom w:val="single" w:color="auto" w:sz="4" w:space="0"/>
                  </w:tcBorders>
                  <w:vAlign w:val="center"/>
                </w:tcPr>
                <w:p>
                  <w:pPr>
                    <w:jc w:val="center"/>
                    <w:rPr>
                      <w:b/>
                      <w:color w:val="000000"/>
                      <w:szCs w:val="21"/>
                    </w:rPr>
                  </w:pPr>
                </w:p>
              </w:tc>
              <w:tc>
                <w:tcPr>
                  <w:tcW w:w="2693" w:type="dxa"/>
                  <w:tcBorders>
                    <w:bottom w:val="single" w:color="auto" w:sz="4" w:space="0"/>
                  </w:tcBorders>
                  <w:vAlign w:val="center"/>
                </w:tcPr>
                <w:p>
                  <w:pPr>
                    <w:autoSpaceDE w:val="0"/>
                    <w:autoSpaceDN w:val="0"/>
                    <w:adjustRightInd w:val="0"/>
                    <w:snapToGrid w:val="0"/>
                    <w:jc w:val="center"/>
                    <w:rPr>
                      <w:b/>
                      <w:color w:val="000000"/>
                      <w:szCs w:val="21"/>
                    </w:rPr>
                  </w:pPr>
                  <w:r>
                    <w:rPr>
                      <w:b/>
                      <w:color w:val="000000"/>
                      <w:szCs w:val="21"/>
                    </w:rPr>
                    <w:t>标准名称</w:t>
                  </w:r>
                </w:p>
              </w:tc>
              <w:tc>
                <w:tcPr>
                  <w:tcW w:w="1137" w:type="dxa"/>
                  <w:tcBorders>
                    <w:bottom w:val="single" w:color="auto" w:sz="4" w:space="0"/>
                  </w:tcBorders>
                  <w:vAlign w:val="center"/>
                </w:tcPr>
                <w:p>
                  <w:pPr>
                    <w:autoSpaceDE w:val="0"/>
                    <w:autoSpaceDN w:val="0"/>
                    <w:adjustRightInd w:val="0"/>
                    <w:snapToGrid w:val="0"/>
                    <w:jc w:val="center"/>
                    <w:rPr>
                      <w:b/>
                      <w:color w:val="000000"/>
                      <w:szCs w:val="21"/>
                    </w:rPr>
                  </w:pPr>
                  <w:r>
                    <w:rPr>
                      <w:b/>
                      <w:color w:val="000000"/>
                      <w:szCs w:val="21"/>
                    </w:rPr>
                    <w:t>浓度限值/（mg/m</w:t>
                  </w:r>
                  <w:r>
                    <w:rPr>
                      <w:b/>
                      <w:color w:val="000000"/>
                      <w:szCs w:val="21"/>
                      <w:vertAlign w:val="superscript"/>
                    </w:rPr>
                    <w:t>3</w:t>
                  </w:r>
                  <w:r>
                    <w:rPr>
                      <w:b/>
                      <w:color w:val="000000"/>
                      <w:szCs w:val="21"/>
                    </w:rPr>
                    <w:t>）</w:t>
                  </w:r>
                </w:p>
              </w:tc>
              <w:tc>
                <w:tcPr>
                  <w:tcW w:w="830" w:type="dxa"/>
                  <w:vMerge w:val="continue"/>
                  <w:tcBorders>
                    <w:top w:val="single" w:color="auto" w:sz="8" w:space="0"/>
                    <w:bottom w:val="single" w:color="auto" w:sz="4" w:space="0"/>
                    <w:right w:val="nil"/>
                  </w:tcBorders>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tcBorders>
                    <w:top w:val="single" w:color="auto" w:sz="4" w:space="0"/>
                    <w:left w:val="nil"/>
                    <w:bottom w:val="single" w:color="auto" w:sz="4" w:space="0"/>
                  </w:tcBorders>
                  <w:vAlign w:val="center"/>
                </w:tcPr>
                <w:p>
                  <w:pPr>
                    <w:autoSpaceDE w:val="0"/>
                    <w:autoSpaceDN w:val="0"/>
                    <w:adjustRightInd w:val="0"/>
                    <w:snapToGrid w:val="0"/>
                    <w:jc w:val="center"/>
                    <w:rPr>
                      <w:color w:val="000000"/>
                      <w:szCs w:val="21"/>
                      <w:lang w:val="fr-FR"/>
                    </w:rPr>
                  </w:pPr>
                  <w:r>
                    <w:rPr>
                      <w:color w:val="000000"/>
                      <w:szCs w:val="21"/>
                      <w:lang w:val="fr-FR"/>
                    </w:rPr>
                    <w:t>1</w:t>
                  </w:r>
                </w:p>
              </w:tc>
              <w:tc>
                <w:tcPr>
                  <w:tcW w:w="637" w:type="dxa"/>
                  <w:tcBorders>
                    <w:top w:val="single" w:color="auto" w:sz="4" w:space="0"/>
                    <w:bottom w:val="single" w:color="auto" w:sz="4" w:space="0"/>
                  </w:tcBorders>
                  <w:vAlign w:val="center"/>
                </w:tcPr>
                <w:p>
                  <w:pPr>
                    <w:pStyle w:val="39"/>
                    <w:rPr>
                      <w:color w:val="000000"/>
                      <w:lang w:val="en-US"/>
                    </w:rPr>
                  </w:pPr>
                  <w:r>
                    <w:rPr>
                      <w:color w:val="000000"/>
                      <w:lang w:val="en-US"/>
                    </w:rPr>
                    <w:t>生产车间</w:t>
                  </w:r>
                </w:p>
              </w:tc>
              <w:tc>
                <w:tcPr>
                  <w:tcW w:w="709" w:type="dxa"/>
                  <w:tcBorders>
                    <w:top w:val="single" w:color="auto" w:sz="4" w:space="0"/>
                    <w:bottom w:val="single" w:color="auto" w:sz="4" w:space="0"/>
                  </w:tcBorders>
                  <w:vAlign w:val="center"/>
                </w:tcPr>
                <w:p>
                  <w:pPr>
                    <w:autoSpaceDE w:val="0"/>
                    <w:autoSpaceDN w:val="0"/>
                    <w:adjustRightInd w:val="0"/>
                    <w:snapToGrid w:val="0"/>
                    <w:jc w:val="center"/>
                    <w:rPr>
                      <w:color w:val="000000"/>
                      <w:szCs w:val="21"/>
                    </w:rPr>
                  </w:pPr>
                  <w:r>
                    <w:rPr>
                      <w:rFonts w:hint="eastAsia"/>
                      <w:color w:val="000000"/>
                      <w:szCs w:val="21"/>
                    </w:rPr>
                    <w:t>成型、上带</w:t>
                  </w:r>
                </w:p>
              </w:tc>
              <w:tc>
                <w:tcPr>
                  <w:tcW w:w="709" w:type="dxa"/>
                  <w:vMerge w:val="restart"/>
                  <w:tcBorders>
                    <w:top w:val="single" w:color="auto" w:sz="4" w:space="0"/>
                  </w:tcBorders>
                  <w:vAlign w:val="center"/>
                </w:tcPr>
                <w:p>
                  <w:pPr>
                    <w:autoSpaceDE w:val="0"/>
                    <w:autoSpaceDN w:val="0"/>
                    <w:adjustRightInd w:val="0"/>
                    <w:snapToGrid w:val="0"/>
                    <w:jc w:val="center"/>
                    <w:rPr>
                      <w:color w:val="000000"/>
                      <w:szCs w:val="21"/>
                      <w:lang w:val="fr-FR"/>
                    </w:rPr>
                  </w:pPr>
                  <w:r>
                    <w:rPr>
                      <w:rFonts w:hint="eastAsia"/>
                      <w:color w:val="000000"/>
                      <w:szCs w:val="21"/>
                      <w:lang w:val="fr-FR"/>
                    </w:rPr>
                    <w:t>非甲烷总烃</w:t>
                  </w:r>
                </w:p>
              </w:tc>
              <w:tc>
                <w:tcPr>
                  <w:tcW w:w="850" w:type="dxa"/>
                  <w:vMerge w:val="restart"/>
                  <w:tcBorders>
                    <w:top w:val="single" w:color="auto" w:sz="4" w:space="0"/>
                  </w:tcBorders>
                  <w:vAlign w:val="center"/>
                </w:tcPr>
                <w:p>
                  <w:pPr>
                    <w:jc w:val="center"/>
                    <w:rPr>
                      <w:color w:val="000000"/>
                      <w:szCs w:val="21"/>
                      <w:highlight w:val="yellow"/>
                    </w:rPr>
                  </w:pPr>
                  <w:r>
                    <w:rPr>
                      <w:color w:val="000000"/>
                      <w:szCs w:val="21"/>
                      <w:lang w:val="fr-FR"/>
                    </w:rPr>
                    <w:t>车间密闭</w:t>
                  </w:r>
                </w:p>
              </w:tc>
              <w:tc>
                <w:tcPr>
                  <w:tcW w:w="2693" w:type="dxa"/>
                  <w:vMerge w:val="restart"/>
                  <w:tcBorders>
                    <w:top w:val="single" w:color="auto" w:sz="4" w:space="0"/>
                  </w:tcBorders>
                  <w:vAlign w:val="center"/>
                </w:tcPr>
                <w:p>
                  <w:pPr>
                    <w:autoSpaceDE w:val="0"/>
                    <w:autoSpaceDN w:val="0"/>
                    <w:adjustRightInd w:val="0"/>
                    <w:snapToGrid w:val="0"/>
                    <w:jc w:val="center"/>
                    <w:rPr>
                      <w:color w:val="000000"/>
                      <w:szCs w:val="21"/>
                      <w:lang w:val="fr-FR"/>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w:t>
                  </w:r>
                </w:p>
              </w:tc>
              <w:tc>
                <w:tcPr>
                  <w:tcW w:w="1137" w:type="dxa"/>
                  <w:vMerge w:val="restart"/>
                  <w:tcBorders>
                    <w:top w:val="single" w:color="auto" w:sz="4" w:space="0"/>
                  </w:tcBorders>
                  <w:vAlign w:val="center"/>
                </w:tcPr>
                <w:p>
                  <w:pPr>
                    <w:autoSpaceDE w:val="0"/>
                    <w:autoSpaceDN w:val="0"/>
                    <w:adjustRightInd w:val="0"/>
                    <w:snapToGrid w:val="0"/>
                    <w:jc w:val="center"/>
                    <w:rPr>
                      <w:color w:val="000000"/>
                      <w:szCs w:val="21"/>
                      <w:lang w:val="fr-FR"/>
                    </w:rPr>
                  </w:pPr>
                  <w:r>
                    <w:rPr>
                      <w:rFonts w:hint="eastAsia"/>
                      <w:color w:val="000000"/>
                      <w:szCs w:val="21"/>
                      <w:lang w:val="fr-FR"/>
                    </w:rPr>
                    <w:t>2</w:t>
                  </w:r>
                  <w:r>
                    <w:rPr>
                      <w:color w:val="000000"/>
                      <w:szCs w:val="21"/>
                      <w:lang w:val="fr-FR"/>
                    </w:rPr>
                    <w:t>.0</w:t>
                  </w:r>
                </w:p>
              </w:tc>
              <w:tc>
                <w:tcPr>
                  <w:tcW w:w="830" w:type="dxa"/>
                  <w:vMerge w:val="restart"/>
                  <w:tcBorders>
                    <w:top w:val="single" w:color="auto" w:sz="4" w:space="0"/>
                    <w:right w:val="nil"/>
                  </w:tcBorders>
                  <w:vAlign w:val="center"/>
                </w:tcPr>
                <w:p>
                  <w:pPr>
                    <w:jc w:val="center"/>
                    <w:rPr>
                      <w:color w:val="000000"/>
                      <w:szCs w:val="21"/>
                      <w:lang w:val="fr-FR"/>
                    </w:rPr>
                  </w:pPr>
                  <w:r>
                    <w:rPr>
                      <w:rFonts w:hint="eastAsia"/>
                      <w:color w:val="000000"/>
                      <w:szCs w:val="21"/>
                      <w:lang w:val="fr-FR"/>
                    </w:rPr>
                    <w:t>0</w:t>
                  </w:r>
                  <w:r>
                    <w:rPr>
                      <w:color w:val="000000"/>
                      <w:szCs w:val="21"/>
                      <w:lang w:val="fr-FR"/>
                    </w:rPr>
                    <w:t>.0454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tcBorders>
                    <w:top w:val="single" w:color="auto" w:sz="4" w:space="0"/>
                    <w:left w:val="nil"/>
                    <w:bottom w:val="single" w:color="auto" w:sz="4" w:space="0"/>
                  </w:tcBorders>
                  <w:vAlign w:val="center"/>
                </w:tcPr>
                <w:p>
                  <w:pPr>
                    <w:autoSpaceDE w:val="0"/>
                    <w:autoSpaceDN w:val="0"/>
                    <w:adjustRightInd w:val="0"/>
                    <w:snapToGrid w:val="0"/>
                    <w:jc w:val="center"/>
                    <w:rPr>
                      <w:color w:val="000000"/>
                      <w:szCs w:val="21"/>
                      <w:lang w:val="fr-FR"/>
                    </w:rPr>
                  </w:pPr>
                  <w:r>
                    <w:rPr>
                      <w:rFonts w:hint="eastAsia"/>
                      <w:color w:val="000000"/>
                      <w:szCs w:val="21"/>
                      <w:lang w:val="fr-FR"/>
                    </w:rPr>
                    <w:t>2</w:t>
                  </w:r>
                </w:p>
              </w:tc>
              <w:tc>
                <w:tcPr>
                  <w:tcW w:w="637" w:type="dxa"/>
                  <w:tcBorders>
                    <w:top w:val="single" w:color="auto" w:sz="4" w:space="0"/>
                    <w:bottom w:val="single" w:color="auto" w:sz="4" w:space="0"/>
                  </w:tcBorders>
                  <w:vAlign w:val="center"/>
                </w:tcPr>
                <w:p>
                  <w:pPr>
                    <w:pStyle w:val="39"/>
                    <w:rPr>
                      <w:color w:val="000000"/>
                      <w:lang w:val="fr-FR"/>
                    </w:rPr>
                  </w:pPr>
                  <w:r>
                    <w:rPr>
                      <w:rFonts w:hint="eastAsia"/>
                      <w:color w:val="000000"/>
                      <w:lang w:val="en-US"/>
                    </w:rPr>
                    <w:t>解析室</w:t>
                  </w:r>
                </w:p>
              </w:tc>
              <w:tc>
                <w:tcPr>
                  <w:tcW w:w="709" w:type="dxa"/>
                  <w:tcBorders>
                    <w:top w:val="single" w:color="auto" w:sz="4" w:space="0"/>
                    <w:bottom w:val="single" w:color="auto" w:sz="4" w:space="0"/>
                  </w:tcBorders>
                  <w:vAlign w:val="center"/>
                </w:tcPr>
                <w:p>
                  <w:pPr>
                    <w:autoSpaceDE w:val="0"/>
                    <w:autoSpaceDN w:val="0"/>
                    <w:adjustRightInd w:val="0"/>
                    <w:snapToGrid w:val="0"/>
                    <w:jc w:val="center"/>
                    <w:rPr>
                      <w:color w:val="000000"/>
                      <w:szCs w:val="21"/>
                      <w:lang w:val="fr-FR"/>
                    </w:rPr>
                  </w:pPr>
                  <w:r>
                    <w:rPr>
                      <w:rFonts w:hint="eastAsia"/>
                      <w:color w:val="000000"/>
                      <w:szCs w:val="21"/>
                    </w:rPr>
                    <w:t>解析</w:t>
                  </w:r>
                </w:p>
              </w:tc>
              <w:tc>
                <w:tcPr>
                  <w:tcW w:w="709" w:type="dxa"/>
                  <w:vMerge w:val="continue"/>
                  <w:tcBorders>
                    <w:bottom w:val="single" w:color="auto" w:sz="4" w:space="0"/>
                  </w:tcBorders>
                  <w:vAlign w:val="center"/>
                </w:tcPr>
                <w:p>
                  <w:pPr>
                    <w:autoSpaceDE w:val="0"/>
                    <w:autoSpaceDN w:val="0"/>
                    <w:adjustRightInd w:val="0"/>
                    <w:snapToGrid w:val="0"/>
                    <w:jc w:val="center"/>
                    <w:rPr>
                      <w:color w:val="000000"/>
                      <w:szCs w:val="21"/>
                      <w:lang w:val="fr-FR"/>
                    </w:rPr>
                  </w:pPr>
                </w:p>
              </w:tc>
              <w:tc>
                <w:tcPr>
                  <w:tcW w:w="850" w:type="dxa"/>
                  <w:vMerge w:val="continue"/>
                  <w:vAlign w:val="center"/>
                </w:tcPr>
                <w:p>
                  <w:pPr>
                    <w:jc w:val="center"/>
                    <w:rPr>
                      <w:color w:val="000000"/>
                      <w:szCs w:val="21"/>
                      <w:lang w:val="fr-FR"/>
                    </w:rPr>
                  </w:pPr>
                </w:p>
              </w:tc>
              <w:tc>
                <w:tcPr>
                  <w:tcW w:w="2693" w:type="dxa"/>
                  <w:vMerge w:val="continue"/>
                  <w:tcBorders>
                    <w:bottom w:val="single" w:color="auto" w:sz="4" w:space="0"/>
                  </w:tcBorders>
                  <w:vAlign w:val="center"/>
                </w:tcPr>
                <w:p>
                  <w:pPr>
                    <w:autoSpaceDE w:val="0"/>
                    <w:autoSpaceDN w:val="0"/>
                    <w:adjustRightInd w:val="0"/>
                    <w:snapToGrid w:val="0"/>
                    <w:jc w:val="center"/>
                    <w:rPr>
                      <w:color w:val="000000"/>
                      <w:szCs w:val="21"/>
                      <w:lang w:val="fr-FR"/>
                    </w:rPr>
                  </w:pPr>
                </w:p>
              </w:tc>
              <w:tc>
                <w:tcPr>
                  <w:tcW w:w="1137" w:type="dxa"/>
                  <w:vMerge w:val="continue"/>
                  <w:tcBorders>
                    <w:bottom w:val="single" w:color="auto" w:sz="4" w:space="0"/>
                  </w:tcBorders>
                  <w:vAlign w:val="center"/>
                </w:tcPr>
                <w:p>
                  <w:pPr>
                    <w:autoSpaceDE w:val="0"/>
                    <w:autoSpaceDN w:val="0"/>
                    <w:adjustRightInd w:val="0"/>
                    <w:snapToGrid w:val="0"/>
                    <w:jc w:val="center"/>
                    <w:rPr>
                      <w:color w:val="000000"/>
                      <w:szCs w:val="21"/>
                      <w:lang w:val="fr-FR"/>
                    </w:rPr>
                  </w:pPr>
                </w:p>
              </w:tc>
              <w:tc>
                <w:tcPr>
                  <w:tcW w:w="830" w:type="dxa"/>
                  <w:vMerge w:val="continue"/>
                  <w:tcBorders>
                    <w:bottom w:val="single" w:color="auto" w:sz="4" w:space="0"/>
                    <w:right w:val="nil"/>
                  </w:tcBorders>
                  <w:vAlign w:val="center"/>
                </w:tcPr>
                <w:p>
                  <w:pPr>
                    <w:jc w:val="center"/>
                    <w:rPr>
                      <w:color w:val="000000"/>
                      <w:szCs w:val="21"/>
                      <w:highlight w:val="yellow"/>
                      <w:lang w:val="fr-FR"/>
                    </w:rPr>
                  </w:pPr>
                </w:p>
              </w:tc>
            </w:tr>
          </w:tbl>
          <w:p>
            <w:pPr>
              <w:spacing w:line="460" w:lineRule="exact"/>
              <w:ind w:firstLine="480" w:firstLineChars="200"/>
              <w:rPr>
                <w:color w:val="000000"/>
                <w:sz w:val="24"/>
                <w:lang w:val="fr-FR"/>
              </w:rPr>
            </w:pPr>
            <w:r>
              <w:rPr>
                <w:color w:val="000000"/>
                <w:sz w:val="24"/>
                <w:lang w:val="fr-FR"/>
              </w:rPr>
              <w:t>6.3</w:t>
            </w:r>
            <w:r>
              <w:rPr>
                <w:color w:val="000000"/>
                <w:sz w:val="24"/>
              </w:rPr>
              <w:t>大气污染物年排放量核算</w:t>
            </w:r>
          </w:p>
          <w:p>
            <w:pPr>
              <w:adjustRightInd w:val="0"/>
              <w:snapToGrid w:val="0"/>
              <w:spacing w:line="460" w:lineRule="exact"/>
              <w:ind w:firstLine="480" w:firstLineChars="200"/>
              <w:rPr>
                <w:rFonts w:eastAsia="黑体"/>
                <w:color w:val="000000"/>
                <w:sz w:val="24"/>
                <w:lang w:val="fr-FR"/>
              </w:rPr>
            </w:pPr>
            <w:r>
              <w:rPr>
                <w:rFonts w:eastAsia="黑体"/>
                <w:color w:val="000000"/>
                <w:sz w:val="24"/>
              </w:rPr>
              <w:t>表</w:t>
            </w:r>
            <w:r>
              <w:rPr>
                <w:rFonts w:eastAsia="黑体"/>
                <w:color w:val="000000"/>
                <w:sz w:val="24"/>
                <w:lang w:val="fr-FR"/>
              </w:rPr>
              <w:t xml:space="preserve">31               </w:t>
            </w:r>
            <w:r>
              <w:rPr>
                <w:rFonts w:eastAsia="黑体"/>
                <w:color w:val="000000"/>
                <w:sz w:val="24"/>
              </w:rPr>
              <w:t>大气污染物年排放量核算表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07"/>
              <w:gridCol w:w="3288"/>
              <w:gridCol w:w="305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b/>
                      <w:color w:val="000000"/>
                      <w:szCs w:val="21"/>
                      <w:lang w:val="fr-FR"/>
                    </w:rPr>
                  </w:pPr>
                  <w:r>
                    <w:rPr>
                      <w:b/>
                      <w:color w:val="000000"/>
                      <w:szCs w:val="21"/>
                    </w:rPr>
                    <w:t>序号</w:t>
                  </w:r>
                </w:p>
              </w:tc>
              <w:tc>
                <w:tcPr>
                  <w:tcW w:w="2069" w:type="pct"/>
                  <w:vAlign w:val="center"/>
                </w:tcPr>
                <w:p>
                  <w:pPr>
                    <w:autoSpaceDE w:val="0"/>
                    <w:autoSpaceDN w:val="0"/>
                    <w:adjustRightInd w:val="0"/>
                    <w:snapToGrid w:val="0"/>
                    <w:jc w:val="center"/>
                    <w:rPr>
                      <w:b/>
                      <w:color w:val="000000"/>
                      <w:szCs w:val="21"/>
                      <w:lang w:val="fr-FR"/>
                    </w:rPr>
                  </w:pPr>
                  <w:r>
                    <w:rPr>
                      <w:b/>
                      <w:color w:val="000000"/>
                      <w:szCs w:val="21"/>
                    </w:rPr>
                    <w:t>污染物</w:t>
                  </w:r>
                </w:p>
              </w:tc>
              <w:tc>
                <w:tcPr>
                  <w:tcW w:w="1920" w:type="pct"/>
                  <w:vAlign w:val="center"/>
                </w:tcPr>
                <w:p>
                  <w:pPr>
                    <w:autoSpaceDE w:val="0"/>
                    <w:autoSpaceDN w:val="0"/>
                    <w:adjustRightInd w:val="0"/>
                    <w:snapToGrid w:val="0"/>
                    <w:jc w:val="center"/>
                    <w:rPr>
                      <w:b/>
                      <w:color w:val="000000"/>
                      <w:szCs w:val="21"/>
                      <w:lang w:val="fr-FR"/>
                    </w:rPr>
                  </w:pPr>
                  <w:r>
                    <w:rPr>
                      <w:b/>
                      <w:color w:val="000000"/>
                      <w:szCs w:val="21"/>
                    </w:rPr>
                    <w:t>年排放量</w:t>
                  </w:r>
                  <w:r>
                    <w:rPr>
                      <w:b/>
                      <w:color w:val="000000"/>
                      <w:szCs w:val="21"/>
                      <w:lang w:val="fr-F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color w:val="000000"/>
                      <w:szCs w:val="21"/>
                      <w:lang w:val="fr-FR"/>
                    </w:rPr>
                  </w:pPr>
                  <w:r>
                    <w:rPr>
                      <w:color w:val="000000"/>
                      <w:szCs w:val="21"/>
                      <w:lang w:val="fr-FR"/>
                    </w:rPr>
                    <w:t>1</w:t>
                  </w:r>
                </w:p>
              </w:tc>
              <w:tc>
                <w:tcPr>
                  <w:tcW w:w="2069" w:type="pct"/>
                  <w:vAlign w:val="center"/>
                </w:tcPr>
                <w:p>
                  <w:pPr>
                    <w:jc w:val="center"/>
                    <w:rPr>
                      <w:color w:val="000000"/>
                      <w:szCs w:val="21"/>
                    </w:rPr>
                  </w:pPr>
                  <w:r>
                    <w:rPr>
                      <w:rFonts w:hint="eastAsia"/>
                      <w:color w:val="000000"/>
                      <w:szCs w:val="21"/>
                      <w:lang w:val="fr-FR"/>
                    </w:rPr>
                    <w:t>非甲烷总烃</w:t>
                  </w:r>
                </w:p>
              </w:tc>
              <w:tc>
                <w:tcPr>
                  <w:tcW w:w="1920" w:type="pct"/>
                  <w:vAlign w:val="center"/>
                </w:tcPr>
                <w:p>
                  <w:pPr>
                    <w:jc w:val="center"/>
                    <w:rPr>
                      <w:color w:val="000000"/>
                      <w:szCs w:val="21"/>
                      <w:lang w:val="fr-FR"/>
                    </w:rPr>
                  </w:pPr>
                  <w:r>
                    <w:rPr>
                      <w:rFonts w:hint="eastAsia"/>
                      <w:color w:val="000000"/>
                      <w:szCs w:val="21"/>
                      <w:lang w:val="fr-FR"/>
                    </w:rPr>
                    <w:t>0</w:t>
                  </w:r>
                  <w:r>
                    <w:rPr>
                      <w:color w:val="000000"/>
                      <w:szCs w:val="21"/>
                      <w:lang w:val="fr-FR"/>
                    </w:rPr>
                    <w:t>.1309</w:t>
                  </w:r>
                </w:p>
              </w:tc>
            </w:tr>
          </w:tbl>
          <w:p>
            <w:pPr>
              <w:spacing w:line="460" w:lineRule="exact"/>
              <w:ind w:firstLine="482" w:firstLineChars="200"/>
              <w:rPr>
                <w:b/>
                <w:color w:val="000000"/>
                <w:sz w:val="24"/>
              </w:rPr>
            </w:pPr>
            <w:r>
              <w:rPr>
                <w:b/>
                <w:color w:val="000000"/>
                <w:sz w:val="24"/>
              </w:rPr>
              <w:t>7、污染物排放口基本情况</w:t>
            </w:r>
          </w:p>
          <w:p>
            <w:pPr>
              <w:spacing w:line="460" w:lineRule="exact"/>
              <w:ind w:firstLine="480" w:firstLineChars="200"/>
              <w:rPr>
                <w:rFonts w:eastAsia="黑体"/>
                <w:bCs/>
                <w:color w:val="000000"/>
                <w:sz w:val="24"/>
              </w:rPr>
            </w:pPr>
            <w:r>
              <w:rPr>
                <w:rFonts w:eastAsia="黑体"/>
                <w:bCs/>
                <w:color w:val="000000"/>
                <w:sz w:val="24"/>
              </w:rPr>
              <w:t>表32              项目污染物排放口基本情况</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9"/>
              <w:gridCol w:w="702"/>
              <w:gridCol w:w="699"/>
              <w:gridCol w:w="2311"/>
              <w:gridCol w:w="629"/>
              <w:gridCol w:w="701"/>
              <w:gridCol w:w="841"/>
              <w:gridCol w:w="683"/>
              <w:gridCol w:w="67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pPr>
                    <w:jc w:val="center"/>
                    <w:rPr>
                      <w:b/>
                      <w:color w:val="000000"/>
                      <w:szCs w:val="21"/>
                      <w:highlight w:val="yellow"/>
                    </w:rPr>
                  </w:pPr>
                  <w:r>
                    <w:rPr>
                      <w:rFonts w:hint="eastAsia"/>
                      <w:b/>
                      <w:color w:val="000000"/>
                      <w:szCs w:val="21"/>
                    </w:rPr>
                    <w:t>排放口编号</w:t>
                  </w:r>
                </w:p>
              </w:tc>
              <w:tc>
                <w:tcPr>
                  <w:tcW w:w="442" w:type="pct"/>
                  <w:vAlign w:val="center"/>
                </w:tcPr>
                <w:p>
                  <w:pPr>
                    <w:jc w:val="center"/>
                    <w:rPr>
                      <w:b/>
                      <w:color w:val="000000"/>
                      <w:szCs w:val="21"/>
                    </w:rPr>
                  </w:pPr>
                  <w:r>
                    <w:rPr>
                      <w:rFonts w:hint="eastAsia"/>
                      <w:b/>
                      <w:color w:val="000000"/>
                      <w:szCs w:val="21"/>
                    </w:rPr>
                    <w:t>排放口名称</w:t>
                  </w:r>
                </w:p>
              </w:tc>
              <w:tc>
                <w:tcPr>
                  <w:tcW w:w="440" w:type="pct"/>
                  <w:vAlign w:val="center"/>
                </w:tcPr>
                <w:p>
                  <w:pPr>
                    <w:jc w:val="center"/>
                    <w:rPr>
                      <w:b/>
                      <w:color w:val="000000"/>
                      <w:szCs w:val="21"/>
                    </w:rPr>
                  </w:pPr>
                  <w:r>
                    <w:rPr>
                      <w:rFonts w:hint="eastAsia"/>
                      <w:b/>
                    </w:rPr>
                    <w:t>污染物种类</w:t>
                  </w:r>
                </w:p>
              </w:tc>
              <w:tc>
                <w:tcPr>
                  <w:tcW w:w="1454" w:type="pct"/>
                  <w:vAlign w:val="center"/>
                </w:tcPr>
                <w:p>
                  <w:pPr>
                    <w:jc w:val="center"/>
                    <w:rPr>
                      <w:b/>
                    </w:rPr>
                  </w:pPr>
                  <w:r>
                    <w:rPr>
                      <w:rFonts w:hint="eastAsia"/>
                      <w:b/>
                    </w:rPr>
                    <w:t>排放口地理坐标</w:t>
                  </w:r>
                </w:p>
              </w:tc>
              <w:tc>
                <w:tcPr>
                  <w:tcW w:w="396" w:type="pct"/>
                  <w:vAlign w:val="center"/>
                </w:tcPr>
                <w:p>
                  <w:pPr>
                    <w:jc w:val="center"/>
                    <w:rPr>
                      <w:b/>
                    </w:rPr>
                  </w:pPr>
                  <w:r>
                    <w:rPr>
                      <w:rFonts w:hint="eastAsia"/>
                      <w:b/>
                    </w:rPr>
                    <w:t>排气筒高度</w:t>
                  </w:r>
                  <w:r>
                    <w:rPr>
                      <w:b/>
                    </w:rPr>
                    <w:t>m</w:t>
                  </w:r>
                </w:p>
              </w:tc>
              <w:tc>
                <w:tcPr>
                  <w:tcW w:w="441" w:type="pct"/>
                  <w:vAlign w:val="center"/>
                </w:tcPr>
                <w:p>
                  <w:pPr>
                    <w:jc w:val="center"/>
                    <w:rPr>
                      <w:b/>
                      <w:color w:val="000000"/>
                      <w:szCs w:val="21"/>
                    </w:rPr>
                  </w:pPr>
                  <w:r>
                    <w:rPr>
                      <w:rFonts w:hint="eastAsia"/>
                      <w:b/>
                      <w:color w:val="000000"/>
                      <w:szCs w:val="21"/>
                    </w:rPr>
                    <w:t>排气筒出口内径</w:t>
                  </w:r>
                  <w:r>
                    <w:rPr>
                      <w:b/>
                      <w:color w:val="000000"/>
                      <w:szCs w:val="21"/>
                    </w:rPr>
                    <w:t>m</w:t>
                  </w:r>
                </w:p>
              </w:tc>
              <w:tc>
                <w:tcPr>
                  <w:tcW w:w="529" w:type="pct"/>
                  <w:vAlign w:val="center"/>
                </w:tcPr>
                <w:p>
                  <w:pPr>
                    <w:jc w:val="center"/>
                    <w:rPr>
                      <w:b/>
                      <w:color w:val="000000"/>
                      <w:szCs w:val="21"/>
                    </w:rPr>
                  </w:pPr>
                  <w:r>
                    <w:rPr>
                      <w:rFonts w:hint="eastAsia"/>
                      <w:b/>
                      <w:color w:val="000000"/>
                      <w:szCs w:val="21"/>
                    </w:rPr>
                    <w:t>废气出口速度m</w:t>
                  </w:r>
                  <w:r>
                    <w:rPr>
                      <w:b/>
                      <w:color w:val="000000"/>
                      <w:szCs w:val="21"/>
                    </w:rPr>
                    <w:t>/s</w:t>
                  </w:r>
                </w:p>
              </w:tc>
              <w:tc>
                <w:tcPr>
                  <w:tcW w:w="430" w:type="pct"/>
                  <w:vAlign w:val="center"/>
                </w:tcPr>
                <w:p>
                  <w:pPr>
                    <w:jc w:val="center"/>
                    <w:rPr>
                      <w:b/>
                      <w:color w:val="000000"/>
                      <w:szCs w:val="21"/>
                    </w:rPr>
                  </w:pPr>
                  <w:r>
                    <w:rPr>
                      <w:rFonts w:hint="eastAsia"/>
                      <w:b/>
                      <w:color w:val="000000"/>
                      <w:szCs w:val="21"/>
                    </w:rPr>
                    <w:t>排气温度℃</w:t>
                  </w:r>
                </w:p>
              </w:tc>
              <w:tc>
                <w:tcPr>
                  <w:tcW w:w="422" w:type="pct"/>
                  <w:vAlign w:val="center"/>
                </w:tcPr>
                <w:p>
                  <w:pPr>
                    <w:jc w:val="center"/>
                    <w:rPr>
                      <w:b/>
                      <w:color w:val="000000"/>
                      <w:szCs w:val="21"/>
                    </w:rPr>
                  </w:pPr>
                  <w:r>
                    <w:rPr>
                      <w:rFonts w:hint="eastAsia"/>
                      <w:b/>
                      <w:color w:val="000000"/>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pPr>
                    <w:autoSpaceDE w:val="0"/>
                    <w:autoSpaceDN w:val="0"/>
                    <w:adjustRightInd w:val="0"/>
                    <w:snapToGrid w:val="0"/>
                    <w:jc w:val="center"/>
                    <w:rPr>
                      <w:color w:val="000000"/>
                      <w:szCs w:val="21"/>
                    </w:rPr>
                  </w:pPr>
                  <w:r>
                    <w:rPr>
                      <w:rFonts w:hint="eastAsia"/>
                      <w:color w:val="000000"/>
                      <w:szCs w:val="21"/>
                    </w:rPr>
                    <w:t>D</w:t>
                  </w:r>
                  <w:r>
                    <w:rPr>
                      <w:color w:val="000000"/>
                      <w:szCs w:val="21"/>
                    </w:rPr>
                    <w:t>A002</w:t>
                  </w:r>
                </w:p>
              </w:tc>
              <w:tc>
                <w:tcPr>
                  <w:tcW w:w="442" w:type="pct"/>
                  <w:vAlign w:val="center"/>
                </w:tcPr>
                <w:p>
                  <w:pPr>
                    <w:jc w:val="center"/>
                    <w:rPr>
                      <w:color w:val="000000"/>
                      <w:szCs w:val="21"/>
                    </w:rPr>
                  </w:pPr>
                  <w:r>
                    <w:rPr>
                      <w:color w:val="000000"/>
                      <w:szCs w:val="21"/>
                    </w:rPr>
                    <w:t>排气筒P2</w:t>
                  </w:r>
                </w:p>
              </w:tc>
              <w:tc>
                <w:tcPr>
                  <w:tcW w:w="440" w:type="pct"/>
                  <w:vAlign w:val="center"/>
                </w:tcPr>
                <w:p>
                  <w:pPr>
                    <w:jc w:val="center"/>
                    <w:rPr>
                      <w:color w:val="000000"/>
                      <w:szCs w:val="21"/>
                    </w:rPr>
                  </w:pPr>
                  <w:r>
                    <w:rPr>
                      <w:rFonts w:hint="eastAsia"/>
                      <w:color w:val="000000"/>
                      <w:szCs w:val="21"/>
                    </w:rPr>
                    <w:t>非甲烷总烃</w:t>
                  </w:r>
                </w:p>
              </w:tc>
              <w:tc>
                <w:tcPr>
                  <w:tcW w:w="1454" w:type="pct"/>
                  <w:vAlign w:val="center"/>
                </w:tcPr>
                <w:p>
                  <w:pPr>
                    <w:ind w:firstLine="35" w:firstLineChars="17"/>
                    <w:jc w:val="center"/>
                    <w:rPr>
                      <w:color w:val="000000"/>
                      <w:szCs w:val="21"/>
                    </w:rPr>
                  </w:pPr>
                  <w:r>
                    <w:rPr>
                      <w:rFonts w:hint="eastAsia"/>
                      <w:color w:val="000000"/>
                      <w:szCs w:val="21"/>
                    </w:rPr>
                    <w:t>经度113°4</w:t>
                  </w:r>
                  <w:r>
                    <w:rPr>
                      <w:color w:val="000000"/>
                      <w:szCs w:val="21"/>
                    </w:rPr>
                    <w:t>2</w:t>
                  </w:r>
                  <w:r>
                    <w:rPr>
                      <w:rFonts w:hint="eastAsia"/>
                      <w:color w:val="000000"/>
                      <w:szCs w:val="21"/>
                    </w:rPr>
                    <w:t>′</w:t>
                  </w:r>
                  <w:r>
                    <w:rPr>
                      <w:color w:val="000000"/>
                      <w:szCs w:val="21"/>
                    </w:rPr>
                    <w:t>31.018</w:t>
                  </w:r>
                  <w:r>
                    <w:rPr>
                      <w:rFonts w:hint="eastAsia"/>
                      <w:color w:val="000000"/>
                      <w:szCs w:val="21"/>
                    </w:rPr>
                    <w:t>″</w:t>
                  </w:r>
                </w:p>
                <w:p>
                  <w:pPr>
                    <w:ind w:firstLine="35" w:firstLineChars="17"/>
                    <w:jc w:val="center"/>
                    <w:rPr>
                      <w:color w:val="000000"/>
                      <w:szCs w:val="21"/>
                    </w:rPr>
                  </w:pPr>
                  <w:r>
                    <w:rPr>
                      <w:rFonts w:hint="eastAsia"/>
                      <w:color w:val="000000"/>
                      <w:szCs w:val="21"/>
                    </w:rPr>
                    <w:t>纬度35°</w:t>
                  </w:r>
                  <w:r>
                    <w:rPr>
                      <w:color w:val="000000"/>
                      <w:szCs w:val="21"/>
                    </w:rPr>
                    <w:t>5</w:t>
                  </w:r>
                  <w:r>
                    <w:rPr>
                      <w:rFonts w:hint="eastAsia"/>
                      <w:color w:val="000000"/>
                      <w:szCs w:val="21"/>
                    </w:rPr>
                    <w:t>′</w:t>
                  </w:r>
                  <w:r>
                    <w:rPr>
                      <w:color w:val="000000"/>
                      <w:szCs w:val="21"/>
                    </w:rPr>
                    <w:t>39.829</w:t>
                  </w:r>
                  <w:r>
                    <w:rPr>
                      <w:rFonts w:hint="eastAsia"/>
                      <w:color w:val="000000"/>
                      <w:szCs w:val="21"/>
                    </w:rPr>
                    <w:t>″</w:t>
                  </w:r>
                </w:p>
              </w:tc>
              <w:tc>
                <w:tcPr>
                  <w:tcW w:w="396" w:type="pct"/>
                  <w:vAlign w:val="center"/>
                </w:tcPr>
                <w:p>
                  <w:pPr>
                    <w:snapToGrid w:val="0"/>
                    <w:ind w:firstLine="35" w:firstLineChars="17"/>
                    <w:jc w:val="center"/>
                    <w:rPr>
                      <w:color w:val="000000"/>
                      <w:szCs w:val="21"/>
                    </w:rPr>
                  </w:pPr>
                  <w:r>
                    <w:rPr>
                      <w:color w:val="000000"/>
                      <w:szCs w:val="21"/>
                    </w:rPr>
                    <w:t>15</w:t>
                  </w:r>
                </w:p>
              </w:tc>
              <w:tc>
                <w:tcPr>
                  <w:tcW w:w="441" w:type="pct"/>
                  <w:vAlign w:val="center"/>
                </w:tcPr>
                <w:p>
                  <w:pPr>
                    <w:snapToGrid w:val="0"/>
                    <w:jc w:val="center"/>
                    <w:rPr>
                      <w:color w:val="000000"/>
                      <w:szCs w:val="21"/>
                    </w:rPr>
                  </w:pPr>
                  <w:r>
                    <w:rPr>
                      <w:color w:val="000000"/>
                      <w:szCs w:val="21"/>
                    </w:rPr>
                    <w:t>0.3</w:t>
                  </w:r>
                </w:p>
              </w:tc>
              <w:tc>
                <w:tcPr>
                  <w:tcW w:w="529" w:type="pct"/>
                  <w:vAlign w:val="center"/>
                </w:tcPr>
                <w:p>
                  <w:pPr>
                    <w:snapToGrid w:val="0"/>
                    <w:jc w:val="center"/>
                    <w:rPr>
                      <w:color w:val="000000"/>
                      <w:szCs w:val="21"/>
                    </w:rPr>
                  </w:pPr>
                  <w:r>
                    <w:rPr>
                      <w:color w:val="000000"/>
                      <w:szCs w:val="21"/>
                    </w:rPr>
                    <w:t>11.1</w:t>
                  </w:r>
                </w:p>
              </w:tc>
              <w:tc>
                <w:tcPr>
                  <w:tcW w:w="430" w:type="pct"/>
                  <w:vAlign w:val="center"/>
                </w:tcPr>
                <w:p>
                  <w:pPr>
                    <w:snapToGrid w:val="0"/>
                    <w:jc w:val="center"/>
                    <w:rPr>
                      <w:color w:val="000000"/>
                      <w:szCs w:val="21"/>
                    </w:rPr>
                  </w:pPr>
                  <w:r>
                    <w:rPr>
                      <w:color w:val="000000"/>
                      <w:szCs w:val="21"/>
                    </w:rPr>
                    <w:t>25</w:t>
                  </w:r>
                </w:p>
              </w:tc>
              <w:tc>
                <w:tcPr>
                  <w:tcW w:w="422" w:type="pct"/>
                  <w:vAlign w:val="center"/>
                </w:tcPr>
                <w:p>
                  <w:pPr>
                    <w:snapToGrid w:val="0"/>
                    <w:jc w:val="center"/>
                    <w:rPr>
                      <w:color w:val="000000"/>
                      <w:szCs w:val="21"/>
                    </w:rPr>
                  </w:pPr>
                  <w:r>
                    <w:rPr>
                      <w:rFonts w:hint="eastAsia"/>
                      <w:color w:val="000000"/>
                      <w:szCs w:val="21"/>
                    </w:rPr>
                    <w:t>一般排气筒</w:t>
                  </w:r>
                </w:p>
              </w:tc>
            </w:tr>
          </w:tbl>
          <w:p>
            <w:pPr>
              <w:spacing w:line="460" w:lineRule="exact"/>
              <w:ind w:firstLine="482" w:firstLineChars="200"/>
              <w:rPr>
                <w:b/>
                <w:sz w:val="24"/>
              </w:rPr>
            </w:pPr>
            <w:r>
              <w:rPr>
                <w:b/>
                <w:color w:val="000000"/>
                <w:sz w:val="24"/>
              </w:rPr>
              <w:t>8、</w:t>
            </w:r>
            <w:r>
              <w:rPr>
                <w:b/>
                <w:sz w:val="24"/>
              </w:rPr>
              <w:t>全厂</w:t>
            </w:r>
            <w:r>
              <w:rPr>
                <w:rFonts w:hint="eastAsia"/>
                <w:b/>
                <w:sz w:val="24"/>
              </w:rPr>
              <w:t>废气</w:t>
            </w:r>
            <w:r>
              <w:rPr>
                <w:b/>
                <w:sz w:val="24"/>
              </w:rPr>
              <w:t>污染物排放</w:t>
            </w:r>
            <w:r>
              <w:rPr>
                <w:rFonts w:ascii="宋体" w:hAnsi="宋体"/>
                <w:b/>
                <w:sz w:val="24"/>
              </w:rPr>
              <w:t>“三笔账”</w:t>
            </w:r>
            <w:r>
              <w:rPr>
                <w:b/>
                <w:sz w:val="24"/>
              </w:rPr>
              <w:t>情况</w:t>
            </w:r>
          </w:p>
          <w:p>
            <w:pPr>
              <w:adjustRightInd w:val="0"/>
              <w:snapToGrid w:val="0"/>
              <w:spacing w:line="460" w:lineRule="exact"/>
              <w:ind w:firstLine="480" w:firstLineChars="200"/>
              <w:rPr>
                <w:rFonts w:eastAsia="黑体"/>
                <w:kern w:val="0"/>
                <w:sz w:val="24"/>
              </w:rPr>
            </w:pPr>
            <w:r>
              <w:rPr>
                <w:rFonts w:eastAsia="黑体"/>
                <w:kern w:val="0"/>
                <w:sz w:val="24"/>
              </w:rPr>
              <w:t xml:space="preserve">表33       </w:t>
            </w:r>
            <w:r>
              <w:rPr>
                <w:rFonts w:hint="eastAsia" w:eastAsia="黑体"/>
                <w:kern w:val="0"/>
                <w:sz w:val="24"/>
              </w:rPr>
              <w:t xml:space="preserve"> </w:t>
            </w:r>
            <w:r>
              <w:rPr>
                <w:rFonts w:eastAsia="黑体"/>
                <w:kern w:val="0"/>
                <w:sz w:val="24"/>
              </w:rPr>
              <w:t xml:space="preserve">   全厂污染物排放</w:t>
            </w:r>
            <w:r>
              <w:rPr>
                <w:rFonts w:ascii="黑体" w:hAnsi="黑体" w:eastAsia="黑体"/>
                <w:kern w:val="0"/>
                <w:sz w:val="24"/>
              </w:rPr>
              <w:t>“</w:t>
            </w:r>
            <w:r>
              <w:rPr>
                <w:rFonts w:hint="eastAsia" w:ascii="黑体" w:hAnsi="黑体" w:eastAsia="黑体"/>
                <w:kern w:val="0"/>
                <w:sz w:val="24"/>
              </w:rPr>
              <w:t>三笔账</w:t>
            </w:r>
            <w:r>
              <w:rPr>
                <w:rFonts w:ascii="黑体" w:hAnsi="黑体" w:eastAsia="黑体"/>
                <w:kern w:val="0"/>
                <w:sz w:val="24"/>
              </w:rPr>
              <w:t>”</w:t>
            </w:r>
            <w:r>
              <w:rPr>
                <w:rFonts w:eastAsia="黑体"/>
                <w:kern w:val="0"/>
                <w:sz w:val="24"/>
              </w:rPr>
              <w:t>一览表        单位：t/a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6"/>
              <w:gridCol w:w="1163"/>
              <w:gridCol w:w="1374"/>
              <w:gridCol w:w="1452"/>
              <w:gridCol w:w="1130"/>
              <w:gridCol w:w="1130"/>
              <w:gridCol w:w="99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869" w:type="dxa"/>
                  <w:gridSpan w:val="2"/>
                  <w:vMerge w:val="restart"/>
                  <w:vAlign w:val="center"/>
                </w:tcPr>
                <w:p>
                  <w:pPr>
                    <w:jc w:val="center"/>
                    <w:rPr>
                      <w:b/>
                      <w:kern w:val="0"/>
                      <w:szCs w:val="21"/>
                    </w:rPr>
                  </w:pPr>
                  <w:r>
                    <w:rPr>
                      <w:b/>
                      <w:kern w:val="0"/>
                      <w:szCs w:val="21"/>
                    </w:rPr>
                    <w:t>污染物</w:t>
                  </w:r>
                </w:p>
              </w:tc>
              <w:tc>
                <w:tcPr>
                  <w:tcW w:w="2826" w:type="dxa"/>
                  <w:gridSpan w:val="2"/>
                  <w:vAlign w:val="center"/>
                </w:tcPr>
                <w:p>
                  <w:pPr>
                    <w:widowControl/>
                    <w:jc w:val="center"/>
                    <w:rPr>
                      <w:b/>
                      <w:kern w:val="0"/>
                      <w:szCs w:val="21"/>
                    </w:rPr>
                  </w:pPr>
                  <w:r>
                    <w:rPr>
                      <w:rFonts w:hint="eastAsia"/>
                      <w:b/>
                      <w:kern w:val="0"/>
                      <w:szCs w:val="21"/>
                    </w:rPr>
                    <w:t>在建</w:t>
                  </w:r>
                  <w:r>
                    <w:rPr>
                      <w:b/>
                      <w:kern w:val="0"/>
                      <w:szCs w:val="21"/>
                    </w:rPr>
                    <w:t>工程</w:t>
                  </w:r>
                </w:p>
              </w:tc>
              <w:tc>
                <w:tcPr>
                  <w:tcW w:w="1130" w:type="dxa"/>
                  <w:vMerge w:val="restart"/>
                  <w:vAlign w:val="center"/>
                </w:tcPr>
                <w:p>
                  <w:pPr>
                    <w:widowControl/>
                    <w:jc w:val="center"/>
                    <w:rPr>
                      <w:b/>
                      <w:kern w:val="0"/>
                      <w:szCs w:val="21"/>
                    </w:rPr>
                  </w:pPr>
                  <w:r>
                    <w:rPr>
                      <w:b/>
                      <w:kern w:val="0"/>
                      <w:szCs w:val="21"/>
                    </w:rPr>
                    <w:t>本工程</w:t>
                  </w:r>
                </w:p>
                <w:p>
                  <w:pPr>
                    <w:jc w:val="center"/>
                    <w:rPr>
                      <w:b/>
                      <w:kern w:val="0"/>
                      <w:szCs w:val="21"/>
                    </w:rPr>
                  </w:pPr>
                  <w:r>
                    <w:rPr>
                      <w:b/>
                      <w:kern w:val="0"/>
                      <w:szCs w:val="21"/>
                    </w:rPr>
                    <w:t>排放量</w:t>
                  </w:r>
                </w:p>
              </w:tc>
              <w:tc>
                <w:tcPr>
                  <w:tcW w:w="1130" w:type="dxa"/>
                  <w:vMerge w:val="restart"/>
                  <w:vAlign w:val="center"/>
                </w:tcPr>
                <w:p>
                  <w:pPr>
                    <w:jc w:val="center"/>
                    <w:rPr>
                      <w:b/>
                      <w:color w:val="000000"/>
                      <w:kern w:val="0"/>
                      <w:szCs w:val="21"/>
                    </w:rPr>
                  </w:pPr>
                  <w:r>
                    <w:rPr>
                      <w:b/>
                      <w:color w:val="000000"/>
                      <w:kern w:val="0"/>
                      <w:szCs w:val="21"/>
                    </w:rPr>
                    <w:t>全厂排</w:t>
                  </w:r>
                </w:p>
                <w:p>
                  <w:pPr>
                    <w:jc w:val="center"/>
                    <w:rPr>
                      <w:b/>
                      <w:color w:val="000000"/>
                      <w:kern w:val="0"/>
                      <w:szCs w:val="21"/>
                    </w:rPr>
                  </w:pPr>
                  <w:r>
                    <w:rPr>
                      <w:b/>
                      <w:color w:val="000000"/>
                      <w:kern w:val="0"/>
                      <w:szCs w:val="21"/>
                    </w:rPr>
                    <w:t>放总量</w:t>
                  </w:r>
                </w:p>
              </w:tc>
              <w:tc>
                <w:tcPr>
                  <w:tcW w:w="991" w:type="dxa"/>
                  <w:vMerge w:val="restart"/>
                  <w:vAlign w:val="center"/>
                </w:tcPr>
                <w:p>
                  <w:pPr>
                    <w:jc w:val="center"/>
                    <w:rPr>
                      <w:b/>
                      <w:color w:val="000000"/>
                      <w:kern w:val="0"/>
                      <w:szCs w:val="21"/>
                    </w:rPr>
                  </w:pPr>
                  <w:r>
                    <w:rPr>
                      <w:rFonts w:hint="eastAsia"/>
                      <w:b/>
                      <w:color w:val="000000"/>
                      <w:kern w:val="0"/>
                      <w:szCs w:val="21"/>
                    </w:rPr>
                    <w:t>排放</w:t>
                  </w:r>
                </w:p>
                <w:p>
                  <w:pPr>
                    <w:jc w:val="center"/>
                    <w:rPr>
                      <w:b/>
                      <w:color w:val="000000"/>
                      <w:kern w:val="0"/>
                      <w:szCs w:val="21"/>
                    </w:rPr>
                  </w:pPr>
                  <w:r>
                    <w:rPr>
                      <w:b/>
                      <w:color w:val="000000"/>
                      <w:kern w:val="0"/>
                      <w:szCs w:val="21"/>
                    </w:rPr>
                    <w:t>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869" w:type="dxa"/>
                  <w:gridSpan w:val="2"/>
                  <w:vMerge w:val="continue"/>
                  <w:vAlign w:val="center"/>
                </w:tcPr>
                <w:p>
                  <w:pPr>
                    <w:widowControl/>
                    <w:jc w:val="center"/>
                    <w:rPr>
                      <w:b/>
                      <w:kern w:val="0"/>
                      <w:szCs w:val="21"/>
                    </w:rPr>
                  </w:pPr>
                </w:p>
              </w:tc>
              <w:tc>
                <w:tcPr>
                  <w:tcW w:w="1374" w:type="dxa"/>
                  <w:vAlign w:val="center"/>
                </w:tcPr>
                <w:p>
                  <w:pPr>
                    <w:widowControl/>
                    <w:jc w:val="center"/>
                    <w:rPr>
                      <w:b/>
                      <w:kern w:val="0"/>
                      <w:szCs w:val="21"/>
                    </w:rPr>
                  </w:pPr>
                  <w:r>
                    <w:rPr>
                      <w:rFonts w:hint="eastAsia"/>
                      <w:b/>
                      <w:kern w:val="0"/>
                      <w:szCs w:val="21"/>
                    </w:rPr>
                    <w:t>环评批复</w:t>
                  </w:r>
                  <w:r>
                    <w:rPr>
                      <w:b/>
                      <w:kern w:val="0"/>
                      <w:szCs w:val="21"/>
                    </w:rPr>
                    <w:t>量</w:t>
                  </w:r>
                </w:p>
              </w:tc>
              <w:tc>
                <w:tcPr>
                  <w:tcW w:w="1452" w:type="dxa"/>
                  <w:tcMar>
                    <w:left w:w="0" w:type="dxa"/>
                    <w:right w:w="0" w:type="dxa"/>
                  </w:tcMar>
                  <w:vAlign w:val="center"/>
                </w:tcPr>
                <w:p>
                  <w:pPr>
                    <w:widowControl/>
                    <w:jc w:val="center"/>
                    <w:rPr>
                      <w:b/>
                      <w:kern w:val="0"/>
                      <w:szCs w:val="21"/>
                    </w:rPr>
                  </w:pPr>
                  <w:r>
                    <w:rPr>
                      <w:b/>
                      <w:kern w:val="0"/>
                      <w:szCs w:val="21"/>
                    </w:rPr>
                    <w:t>实际排放量</w:t>
                  </w:r>
                </w:p>
              </w:tc>
              <w:tc>
                <w:tcPr>
                  <w:tcW w:w="1130" w:type="dxa"/>
                  <w:vMerge w:val="continue"/>
                  <w:vAlign w:val="center"/>
                </w:tcPr>
                <w:p>
                  <w:pPr>
                    <w:widowControl/>
                    <w:jc w:val="center"/>
                    <w:rPr>
                      <w:b/>
                      <w:kern w:val="0"/>
                      <w:szCs w:val="21"/>
                    </w:rPr>
                  </w:pPr>
                </w:p>
              </w:tc>
              <w:tc>
                <w:tcPr>
                  <w:tcW w:w="1130" w:type="dxa"/>
                  <w:vMerge w:val="continue"/>
                  <w:vAlign w:val="center"/>
                </w:tcPr>
                <w:p>
                  <w:pPr>
                    <w:widowControl/>
                    <w:jc w:val="center"/>
                    <w:rPr>
                      <w:b/>
                      <w:color w:val="FF0000"/>
                      <w:kern w:val="0"/>
                      <w:szCs w:val="21"/>
                    </w:rPr>
                  </w:pPr>
                </w:p>
              </w:tc>
              <w:tc>
                <w:tcPr>
                  <w:tcW w:w="991" w:type="dxa"/>
                  <w:vMerge w:val="continue"/>
                  <w:vAlign w:val="center"/>
                </w:tcPr>
                <w:p>
                  <w:pPr>
                    <w:widowControl/>
                    <w:jc w:val="center"/>
                    <w:rPr>
                      <w:b/>
                      <w:color w:val="FF0000"/>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restart"/>
                  <w:vAlign w:val="center"/>
                </w:tcPr>
                <w:p>
                  <w:pPr>
                    <w:widowControl/>
                    <w:jc w:val="center"/>
                    <w:rPr>
                      <w:kern w:val="0"/>
                      <w:szCs w:val="21"/>
                    </w:rPr>
                  </w:pPr>
                  <w:r>
                    <w:rPr>
                      <w:kern w:val="0"/>
                      <w:szCs w:val="21"/>
                    </w:rPr>
                    <w:t>废气</w:t>
                  </w:r>
                </w:p>
              </w:tc>
              <w:tc>
                <w:tcPr>
                  <w:tcW w:w="1163" w:type="dxa"/>
                  <w:vAlign w:val="center"/>
                </w:tcPr>
                <w:p>
                  <w:pPr>
                    <w:jc w:val="center"/>
                    <w:rPr>
                      <w:szCs w:val="21"/>
                      <w:lang w:val="pt-BR"/>
                    </w:rPr>
                  </w:pPr>
                  <w:r>
                    <w:rPr>
                      <w:rFonts w:hint="eastAsia"/>
                      <w:szCs w:val="21"/>
                      <w:lang w:val="pt-BR"/>
                    </w:rPr>
                    <w:t>颗粒物</w:t>
                  </w:r>
                </w:p>
              </w:tc>
              <w:tc>
                <w:tcPr>
                  <w:tcW w:w="1374" w:type="dxa"/>
                  <w:vAlign w:val="center"/>
                </w:tcPr>
                <w:p>
                  <w:pPr>
                    <w:pStyle w:val="48"/>
                    <w:rPr>
                      <w:color w:val="auto"/>
                      <w:kern w:val="2"/>
                    </w:rPr>
                  </w:pPr>
                  <w:r>
                    <w:rPr>
                      <w:rFonts w:hint="eastAsia"/>
                    </w:rPr>
                    <w:t>0</w:t>
                  </w:r>
                  <w:r>
                    <w:t>.1214</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szCs w:val="21"/>
                    </w:rPr>
                    <w:t>0</w:t>
                  </w:r>
                </w:p>
              </w:tc>
              <w:tc>
                <w:tcPr>
                  <w:tcW w:w="1130" w:type="dxa"/>
                  <w:vAlign w:val="center"/>
                </w:tcPr>
                <w:p>
                  <w:pPr>
                    <w:jc w:val="center"/>
                    <w:rPr>
                      <w:szCs w:val="21"/>
                    </w:rPr>
                  </w:pPr>
                  <w:r>
                    <w:rPr>
                      <w:rFonts w:hint="eastAsia"/>
                      <w:szCs w:val="21"/>
                    </w:rPr>
                    <w:t>0</w:t>
                  </w:r>
                </w:p>
              </w:tc>
              <w:tc>
                <w:tcPr>
                  <w:tcW w:w="991" w:type="dxa"/>
                  <w:vAlign w:val="center"/>
                </w:tcPr>
                <w:p>
                  <w:pPr>
                    <w:jc w:val="center"/>
                    <w:rPr>
                      <w:szCs w:val="21"/>
                    </w:rPr>
                  </w:pPr>
                  <w:r>
                    <w:rPr>
                      <w:rFonts w:hint="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06" w:type="dxa"/>
                  <w:vMerge w:val="continue"/>
                  <w:vAlign w:val="center"/>
                </w:tcPr>
                <w:p>
                  <w:pPr>
                    <w:widowControl/>
                    <w:jc w:val="center"/>
                    <w:rPr>
                      <w:kern w:val="0"/>
                      <w:szCs w:val="21"/>
                    </w:rPr>
                  </w:pPr>
                </w:p>
              </w:tc>
              <w:tc>
                <w:tcPr>
                  <w:tcW w:w="1163" w:type="dxa"/>
                  <w:vAlign w:val="center"/>
                </w:tcPr>
                <w:p>
                  <w:pPr>
                    <w:jc w:val="center"/>
                    <w:rPr>
                      <w:szCs w:val="21"/>
                      <w:lang w:val="pt-BR"/>
                    </w:rPr>
                  </w:pPr>
                  <w:r>
                    <w:rPr>
                      <w:rFonts w:hint="eastAsia"/>
                      <w:szCs w:val="21"/>
                      <w:lang w:val="pt-BR"/>
                    </w:rPr>
                    <w:t>非甲烷总烃</w:t>
                  </w:r>
                </w:p>
              </w:tc>
              <w:tc>
                <w:tcPr>
                  <w:tcW w:w="1374" w:type="dxa"/>
                  <w:vAlign w:val="center"/>
                </w:tcPr>
                <w:p>
                  <w:pPr>
                    <w:pStyle w:val="48"/>
                    <w:rPr>
                      <w:color w:val="auto"/>
                      <w:kern w:val="2"/>
                    </w:rPr>
                  </w:pPr>
                  <w:r>
                    <w:rPr>
                      <w:rFonts w:hint="eastAsia"/>
                    </w:rPr>
                    <w:t>0</w:t>
                  </w:r>
                  <w:r>
                    <w:t>.1961</w:t>
                  </w:r>
                </w:p>
              </w:tc>
              <w:tc>
                <w:tcPr>
                  <w:tcW w:w="1452" w:type="dxa"/>
                  <w:vAlign w:val="center"/>
                </w:tcPr>
                <w:p>
                  <w:pPr>
                    <w:pStyle w:val="48"/>
                    <w:rPr>
                      <w:color w:val="auto"/>
                      <w:kern w:val="2"/>
                    </w:rPr>
                  </w:pPr>
                  <w:r>
                    <w:rPr>
                      <w:rFonts w:hint="eastAsia"/>
                      <w:color w:val="auto"/>
                      <w:kern w:val="2"/>
                    </w:rPr>
                    <w:t>0</w:t>
                  </w:r>
                </w:p>
              </w:tc>
              <w:tc>
                <w:tcPr>
                  <w:tcW w:w="1130" w:type="dxa"/>
                  <w:vAlign w:val="center"/>
                </w:tcPr>
                <w:p>
                  <w:pPr>
                    <w:jc w:val="center"/>
                    <w:rPr>
                      <w:szCs w:val="21"/>
                    </w:rPr>
                  </w:pPr>
                  <w:r>
                    <w:rPr>
                      <w:rFonts w:hint="eastAsia"/>
                      <w:color w:val="000000"/>
                      <w:szCs w:val="21"/>
                      <w:lang w:val="fr-FR"/>
                    </w:rPr>
                    <w:t>0</w:t>
                  </w:r>
                  <w:r>
                    <w:rPr>
                      <w:color w:val="000000"/>
                      <w:szCs w:val="21"/>
                      <w:lang w:val="fr-FR"/>
                    </w:rPr>
                    <w:t>.1309</w:t>
                  </w:r>
                </w:p>
              </w:tc>
              <w:tc>
                <w:tcPr>
                  <w:tcW w:w="1130" w:type="dxa"/>
                  <w:vAlign w:val="center"/>
                </w:tcPr>
                <w:p>
                  <w:pPr>
                    <w:jc w:val="center"/>
                    <w:rPr>
                      <w:szCs w:val="21"/>
                    </w:rPr>
                  </w:pPr>
                  <w:r>
                    <w:rPr>
                      <w:rFonts w:hint="eastAsia"/>
                      <w:color w:val="000000"/>
                      <w:szCs w:val="21"/>
                      <w:lang w:val="fr-FR"/>
                    </w:rPr>
                    <w:t>0</w:t>
                  </w:r>
                  <w:r>
                    <w:rPr>
                      <w:color w:val="000000"/>
                      <w:szCs w:val="21"/>
                      <w:lang w:val="fr-FR"/>
                    </w:rPr>
                    <w:t>.1309</w:t>
                  </w:r>
                </w:p>
              </w:tc>
              <w:tc>
                <w:tcPr>
                  <w:tcW w:w="991" w:type="dxa"/>
                  <w:vAlign w:val="center"/>
                </w:tcPr>
                <w:p>
                  <w:pPr>
                    <w:jc w:val="center"/>
                    <w:rPr>
                      <w:szCs w:val="21"/>
                    </w:rPr>
                  </w:pPr>
                  <w:r>
                    <w:rPr>
                      <w:color w:val="000000"/>
                      <w:szCs w:val="21"/>
                      <w:lang w:val="fr-FR"/>
                    </w:rPr>
                    <w:t>+</w:t>
                  </w:r>
                  <w:r>
                    <w:rPr>
                      <w:rFonts w:hint="eastAsia"/>
                      <w:color w:val="000000"/>
                      <w:szCs w:val="21"/>
                      <w:lang w:val="fr-FR"/>
                    </w:rPr>
                    <w:t>0</w:t>
                  </w:r>
                  <w:r>
                    <w:rPr>
                      <w:color w:val="000000"/>
                      <w:szCs w:val="21"/>
                      <w:lang w:val="fr-FR"/>
                    </w:rPr>
                    <w:t>.1309</w:t>
                  </w:r>
                </w:p>
              </w:tc>
            </w:tr>
          </w:tbl>
          <w:p>
            <w:pPr>
              <w:spacing w:line="460" w:lineRule="exact"/>
              <w:ind w:firstLine="482" w:firstLineChars="200"/>
              <w:rPr>
                <w:b/>
                <w:color w:val="000000"/>
                <w:sz w:val="24"/>
              </w:rPr>
            </w:pPr>
            <w:r>
              <w:rPr>
                <w:b/>
                <w:color w:val="000000"/>
                <w:sz w:val="24"/>
              </w:rPr>
              <w:t>9</w:t>
            </w:r>
            <w:r>
              <w:rPr>
                <w:rFonts w:hint="eastAsia"/>
                <w:b/>
                <w:color w:val="000000"/>
                <w:sz w:val="24"/>
              </w:rPr>
              <w:t>、</w:t>
            </w:r>
            <w:r>
              <w:rPr>
                <w:b/>
                <w:color w:val="000000"/>
                <w:sz w:val="24"/>
              </w:rPr>
              <w:t>监测要求</w:t>
            </w:r>
          </w:p>
          <w:p>
            <w:pPr>
              <w:spacing w:line="460" w:lineRule="exact"/>
              <w:ind w:firstLine="480" w:firstLineChars="200"/>
              <w:rPr>
                <w:color w:val="000000"/>
                <w:sz w:val="24"/>
              </w:rPr>
            </w:pPr>
            <w:r>
              <w:rPr>
                <w:color w:val="000000"/>
                <w:sz w:val="24"/>
              </w:rPr>
              <w:t>根据</w:t>
            </w:r>
            <w:r>
              <w:rPr>
                <w:color w:val="000000"/>
                <w:kern w:val="0"/>
                <w:sz w:val="24"/>
              </w:rPr>
              <w:t>《排污许可证申请与核发技术规范</w:t>
            </w:r>
            <w:r>
              <w:rPr>
                <w:rFonts w:hint="eastAsia"/>
                <w:color w:val="000000"/>
                <w:kern w:val="0"/>
                <w:sz w:val="24"/>
              </w:rPr>
              <w:t xml:space="preserve"> </w:t>
            </w:r>
            <w:r>
              <w:rPr>
                <w:color w:val="000000"/>
                <w:kern w:val="0"/>
                <w:sz w:val="24"/>
              </w:rPr>
              <w:t xml:space="preserve"> 总则》（HJ 942-2018）</w:t>
            </w:r>
            <w:r>
              <w:rPr>
                <w:color w:val="000000"/>
                <w:sz w:val="24"/>
              </w:rPr>
              <w:t>，评价提出项目在生产运行阶段的污染源监测计划，具体监测计划见下表。</w:t>
            </w:r>
          </w:p>
          <w:p>
            <w:pPr>
              <w:adjustRightInd w:val="0"/>
              <w:snapToGrid w:val="0"/>
              <w:spacing w:line="460" w:lineRule="exact"/>
              <w:ind w:firstLine="480" w:firstLineChars="200"/>
              <w:rPr>
                <w:rFonts w:eastAsia="黑体"/>
                <w:color w:val="000000"/>
                <w:sz w:val="24"/>
              </w:rPr>
            </w:pPr>
            <w:r>
              <w:rPr>
                <w:rFonts w:eastAsia="黑体"/>
                <w:color w:val="000000"/>
                <w:sz w:val="24"/>
              </w:rPr>
              <w:t>表34                 污染源自行监测计划表</w:t>
            </w:r>
          </w:p>
          <w:tbl>
            <w:tblPr>
              <w:tblStyle w:val="16"/>
              <w:tblW w:w="785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546"/>
              <w:gridCol w:w="709"/>
              <w:gridCol w:w="708"/>
              <w:gridCol w:w="709"/>
              <w:gridCol w:w="518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55" w:type="dxa"/>
                  <w:gridSpan w:val="2"/>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监测指标</w:t>
                  </w:r>
                </w:p>
              </w:tc>
              <w:tc>
                <w:tcPr>
                  <w:tcW w:w="708"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监测点位</w:t>
                  </w:r>
                </w:p>
              </w:tc>
              <w:tc>
                <w:tcPr>
                  <w:tcW w:w="709"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监测频次</w:t>
                  </w:r>
                </w:p>
              </w:tc>
              <w:tc>
                <w:tcPr>
                  <w:tcW w:w="5180"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852" w:type="dxa"/>
                  <w:gridSpan w:val="5"/>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color w:val="000000"/>
                      <w:szCs w:val="21"/>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46"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szCs w:val="21"/>
                      <w:lang w:val="pt-BR"/>
                    </w:rPr>
                    <w:t>非甲烷总烃</w:t>
                  </w:r>
                </w:p>
              </w:tc>
              <w:tc>
                <w:tcPr>
                  <w:tcW w:w="709"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浓度、速率、废气量</w:t>
                  </w:r>
                </w:p>
              </w:tc>
              <w:tc>
                <w:tcPr>
                  <w:tcW w:w="708"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排气筒P2</w:t>
                  </w:r>
                </w:p>
              </w:tc>
              <w:tc>
                <w:tcPr>
                  <w:tcW w:w="709"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w:t>
                  </w:r>
                  <w:r>
                    <w:rPr>
                      <w:rFonts w:hint="eastAsia"/>
                      <w:szCs w:val="21"/>
                    </w:rPr>
                    <w:t>年</w:t>
                  </w:r>
                </w:p>
              </w:tc>
              <w:tc>
                <w:tcPr>
                  <w:tcW w:w="5180"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号）附件1医药制造工业</w:t>
                  </w:r>
                  <w:r>
                    <w:rPr>
                      <w:color w:val="000000"/>
                      <w:szCs w:val="21"/>
                    </w:rPr>
                    <w:t>中</w:t>
                  </w:r>
                  <w:r>
                    <w:rPr>
                      <w:rFonts w:hint="eastAsia"/>
                      <w:color w:val="000000"/>
                      <w:szCs w:val="21"/>
                    </w:rPr>
                    <w:t>非甲烷总烃</w:t>
                  </w:r>
                  <w:r>
                    <w:rPr>
                      <w:color w:val="000000"/>
                      <w:szCs w:val="21"/>
                    </w:rPr>
                    <w:t>有组织排放60mg/m</w:t>
                  </w:r>
                  <w:r>
                    <w:rPr>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852" w:type="dxa"/>
                  <w:gridSpan w:val="5"/>
                  <w:tcMar>
                    <w:top w:w="0" w:type="dxa"/>
                    <w:left w:w="28" w:type="dxa"/>
                    <w:bottom w:w="0" w:type="dxa"/>
                    <w:right w:w="28" w:type="dxa"/>
                  </w:tcMar>
                  <w:vAlign w:val="center"/>
                </w:tcPr>
                <w:p>
                  <w:pPr>
                    <w:autoSpaceDE w:val="0"/>
                    <w:autoSpaceDN w:val="0"/>
                    <w:adjustRightInd w:val="0"/>
                    <w:snapToGrid w:val="0"/>
                    <w:jc w:val="center"/>
                    <w:rPr>
                      <w:color w:val="000000"/>
                      <w:szCs w:val="21"/>
                    </w:rPr>
                  </w:pPr>
                  <w:r>
                    <w:rPr>
                      <w:b/>
                      <w:color w:val="000000"/>
                      <w:szCs w:val="21"/>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46"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szCs w:val="21"/>
                      <w:lang w:val="pt-BR"/>
                    </w:rPr>
                    <w:t>非甲烷总烃</w:t>
                  </w:r>
                </w:p>
              </w:tc>
              <w:tc>
                <w:tcPr>
                  <w:tcW w:w="709"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排放浓度</w:t>
                  </w:r>
                </w:p>
              </w:tc>
              <w:tc>
                <w:tcPr>
                  <w:tcW w:w="708"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四周厂界</w:t>
                  </w:r>
                </w:p>
              </w:tc>
              <w:tc>
                <w:tcPr>
                  <w:tcW w:w="709"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szCs w:val="21"/>
                    </w:rPr>
                    <w:t>1次/</w:t>
                  </w:r>
                  <w:r>
                    <w:rPr>
                      <w:rFonts w:hint="eastAsia"/>
                      <w:szCs w:val="21"/>
                    </w:rPr>
                    <w:t>年</w:t>
                  </w:r>
                </w:p>
              </w:tc>
              <w:tc>
                <w:tcPr>
                  <w:tcW w:w="5180" w:type="dxa"/>
                  <w:tcMar>
                    <w:top w:w="0" w:type="dxa"/>
                    <w:left w:w="28" w:type="dxa"/>
                    <w:bottom w:w="0" w:type="dxa"/>
                    <w:right w:w="28" w:type="dxa"/>
                  </w:tcMar>
                  <w:vAlign w:val="center"/>
                </w:tcPr>
                <w:p>
                  <w:pPr>
                    <w:autoSpaceDE w:val="0"/>
                    <w:autoSpaceDN w:val="0"/>
                    <w:adjustRightInd w:val="0"/>
                    <w:snapToGrid w:val="0"/>
                    <w:jc w:val="center"/>
                    <w:rPr>
                      <w:b/>
                      <w:color w:val="000000"/>
                      <w:szCs w:val="21"/>
                      <w:u w:val="single"/>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号）附件2：工业企业边界非甲烷总烃2</w:t>
                  </w:r>
                  <w:r>
                    <w:rPr>
                      <w:bCs/>
                      <w:color w:val="000000"/>
                      <w:szCs w:val="21"/>
                    </w:rPr>
                    <w:t>.0mg/m</w:t>
                  </w:r>
                  <w:r>
                    <w:rPr>
                      <w:bCs/>
                      <w:color w:val="000000"/>
                      <w:szCs w:val="21"/>
                      <w:vertAlign w:val="superscript"/>
                    </w:rPr>
                    <w:t>3</w:t>
                  </w:r>
                </w:p>
              </w:tc>
            </w:tr>
          </w:tbl>
          <w:p>
            <w:pPr>
              <w:snapToGrid w:val="0"/>
              <w:spacing w:line="460" w:lineRule="exact"/>
              <w:ind w:firstLine="482" w:firstLineChars="200"/>
              <w:rPr>
                <w:b/>
                <w:color w:val="000000"/>
                <w:sz w:val="24"/>
              </w:rPr>
            </w:pPr>
            <w:r>
              <w:rPr>
                <w:b/>
                <w:color w:val="000000"/>
                <w:sz w:val="24"/>
              </w:rPr>
              <w:t>三、噪声</w:t>
            </w:r>
          </w:p>
          <w:p>
            <w:pPr>
              <w:pStyle w:val="46"/>
              <w:snapToGrid w:val="0"/>
              <w:spacing w:line="460" w:lineRule="exact"/>
              <w:ind w:firstLine="482" w:firstLineChars="200"/>
              <w:rPr>
                <w:b/>
                <w:color w:val="000000"/>
                <w:sz w:val="24"/>
                <w:lang w:val="en-US"/>
              </w:rPr>
            </w:pPr>
            <w:r>
              <w:rPr>
                <w:b/>
                <w:color w:val="000000"/>
                <w:sz w:val="24"/>
                <w:lang w:val="en-US"/>
              </w:rPr>
              <w:t>1、噪声源情况</w:t>
            </w:r>
          </w:p>
          <w:p>
            <w:pPr>
              <w:pStyle w:val="46"/>
              <w:snapToGrid w:val="0"/>
              <w:spacing w:line="460" w:lineRule="exact"/>
              <w:ind w:firstLine="480" w:firstLineChars="200"/>
              <w:rPr>
                <w:color w:val="000000"/>
                <w:sz w:val="24"/>
                <w:lang w:val="en-US"/>
              </w:rPr>
            </w:pPr>
            <w:r>
              <w:rPr>
                <w:color w:val="000000"/>
                <w:sz w:val="24"/>
                <w:lang w:val="en-US"/>
              </w:rPr>
              <w:t>该项目高噪声设备主要为</w:t>
            </w:r>
            <w:r>
              <w:rPr>
                <w:rFonts w:hint="eastAsia"/>
                <w:color w:val="000000"/>
                <w:sz w:val="24"/>
                <w:lang w:val="en-US"/>
              </w:rPr>
              <w:t>平面口罩全自动口罩机、封口机</w:t>
            </w:r>
            <w:r>
              <w:rPr>
                <w:color w:val="000000"/>
                <w:sz w:val="24"/>
                <w:lang w:val="en-US"/>
              </w:rPr>
              <w:t>等，声源强度在75-85dB</w:t>
            </w:r>
            <w:r>
              <w:rPr>
                <w:rFonts w:hint="eastAsia"/>
                <w:color w:val="000000"/>
                <w:sz w:val="24"/>
                <w:lang w:val="en-US"/>
              </w:rPr>
              <w:t>(</w:t>
            </w:r>
            <w:r>
              <w:rPr>
                <w:color w:val="000000"/>
                <w:sz w:val="24"/>
                <w:lang w:val="en-US"/>
              </w:rPr>
              <w:t>A</w:t>
            </w:r>
            <w:r>
              <w:rPr>
                <w:rFonts w:hint="eastAsia"/>
                <w:color w:val="000000"/>
                <w:sz w:val="24"/>
                <w:lang w:val="en-US"/>
              </w:rPr>
              <w:t>)</w:t>
            </w:r>
            <w:r>
              <w:rPr>
                <w:color w:val="000000"/>
                <w:sz w:val="24"/>
                <w:lang w:val="en-US"/>
              </w:rPr>
              <w:t>之间，声源强度及治理效果见下表。</w:t>
            </w:r>
          </w:p>
          <w:p>
            <w:pPr>
              <w:spacing w:line="460" w:lineRule="exact"/>
              <w:ind w:firstLine="480" w:firstLineChars="200"/>
              <w:rPr>
                <w:color w:val="000000"/>
                <w:sz w:val="24"/>
              </w:rPr>
            </w:pPr>
          </w:p>
          <w:p>
            <w:pPr>
              <w:spacing w:line="460" w:lineRule="exact"/>
              <w:ind w:firstLine="480" w:firstLineChars="200"/>
              <w:rPr>
                <w:color w:val="000000"/>
                <w:sz w:val="24"/>
              </w:rPr>
            </w:pPr>
          </w:p>
          <w:p>
            <w:pPr>
              <w:spacing w:line="460" w:lineRule="exact"/>
              <w:ind w:firstLine="480" w:firstLineChars="200"/>
              <w:rPr>
                <w:color w:val="000000"/>
                <w:sz w:val="24"/>
              </w:rPr>
            </w:pPr>
          </w:p>
          <w:p>
            <w:pPr>
              <w:spacing w:line="460" w:lineRule="exact"/>
              <w:ind w:firstLine="480" w:firstLineChars="200"/>
              <w:rPr>
                <w:color w:val="000000"/>
                <w:sz w:val="24"/>
              </w:rPr>
            </w:pPr>
          </w:p>
          <w:p>
            <w:pPr>
              <w:spacing w:line="460" w:lineRule="exact"/>
              <w:ind w:firstLine="480" w:firstLineChars="200"/>
              <w:rPr>
                <w:color w:val="000000"/>
                <w:sz w:val="24"/>
              </w:rPr>
            </w:pPr>
          </w:p>
          <w:p>
            <w:pPr>
              <w:spacing w:line="460" w:lineRule="exact"/>
              <w:ind w:firstLine="480" w:firstLineChars="200"/>
              <w:rPr>
                <w:color w:val="000000"/>
                <w:sz w:val="24"/>
              </w:rPr>
            </w:pPr>
          </w:p>
          <w:p>
            <w:pPr>
              <w:spacing w:line="460" w:lineRule="exact"/>
              <w:ind w:firstLine="440" w:firstLineChars="200"/>
              <w:rPr>
                <w:bCs/>
                <w:spacing w:val="-10"/>
                <w:sz w:val="24"/>
              </w:rPr>
            </w:pPr>
          </w:p>
        </w:tc>
      </w:tr>
    </w:tbl>
    <w:p>
      <w:pPr>
        <w:adjustRightInd w:val="0"/>
        <w:snapToGrid w:val="0"/>
        <w:rPr>
          <w:rFonts w:ascii="宋体" w:cs="宋体"/>
          <w:b/>
          <w:kern w:val="0"/>
          <w:sz w:val="18"/>
          <w:szCs w:val="18"/>
        </w:rPr>
        <w:sectPr>
          <w:pgSz w:w="11907" w:h="16840"/>
          <w:pgMar w:top="1701" w:right="1531" w:bottom="2127" w:left="1531" w:header="851" w:footer="851" w:gutter="0"/>
          <w:cols w:space="720" w:num="1"/>
          <w:docGrid w:linePitch="312" w:charSpace="0"/>
        </w:sectPr>
      </w:pP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85" w:type="dxa"/>
          <w:bottom w:w="0" w:type="dxa"/>
          <w:right w:w="85" w:type="dxa"/>
        </w:tblCellMar>
      </w:tblPr>
      <w:tblGrid>
        <w:gridCol w:w="751"/>
        <w:gridCol w:w="123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344" w:hRule="atLeast"/>
          <w:jc w:val="center"/>
        </w:trPr>
        <w:tc>
          <w:tcPr>
            <w:tcW w:w="286" w:type="pct"/>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714" w:type="pct"/>
            <w:vAlign w:val="center"/>
          </w:tcPr>
          <w:p>
            <w:pPr>
              <w:pStyle w:val="3"/>
              <w:spacing w:line="460" w:lineRule="exact"/>
              <w:ind w:firstLine="480"/>
              <w:rPr>
                <w:rFonts w:eastAsia="黑体"/>
                <w:b w:val="0"/>
                <w:bCs/>
                <w:sz w:val="24"/>
              </w:rPr>
            </w:pPr>
            <w:r>
              <w:rPr>
                <w:rFonts w:eastAsia="黑体"/>
                <w:b w:val="0"/>
                <w:bCs/>
                <w:sz w:val="24"/>
              </w:rPr>
              <w:t>表</w:t>
            </w:r>
            <w:r>
              <w:rPr>
                <w:rFonts w:hint="eastAsia" w:eastAsia="黑体"/>
                <w:b w:val="0"/>
                <w:bCs/>
                <w:sz w:val="24"/>
              </w:rPr>
              <w:t>3</w:t>
            </w:r>
            <w:r>
              <w:rPr>
                <w:rFonts w:eastAsia="黑体"/>
                <w:b w:val="0"/>
                <w:bCs/>
                <w:sz w:val="24"/>
              </w:rPr>
              <w:t>5                           工业企业噪声源强调查清单（室外声源）</w:t>
            </w:r>
          </w:p>
          <w:tbl>
            <w:tblPr>
              <w:tblStyle w:val="1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2"/>
              <w:gridCol w:w="1236"/>
              <w:gridCol w:w="678"/>
              <w:gridCol w:w="1893"/>
              <w:gridCol w:w="881"/>
              <w:gridCol w:w="2148"/>
              <w:gridCol w:w="1453"/>
              <w:gridCol w:w="695"/>
              <w:gridCol w:w="716"/>
              <w:gridCol w:w="716"/>
              <w:gridCol w:w="11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16" w:type="dxa"/>
                  <w:vMerge w:val="restart"/>
                  <w:vAlign w:val="center"/>
                </w:tcPr>
                <w:p>
                  <w:pPr>
                    <w:pStyle w:val="3"/>
                    <w:spacing w:line="240" w:lineRule="auto"/>
                    <w:ind w:firstLine="0" w:firstLineChars="0"/>
                    <w:jc w:val="center"/>
                    <w:rPr>
                      <w:szCs w:val="21"/>
                    </w:rPr>
                  </w:pPr>
                  <w:r>
                    <w:rPr>
                      <w:rFonts w:hint="eastAsia"/>
                      <w:szCs w:val="21"/>
                    </w:rPr>
                    <w:t>序号</w:t>
                  </w:r>
                </w:p>
              </w:tc>
              <w:tc>
                <w:tcPr>
                  <w:tcW w:w="1223" w:type="dxa"/>
                  <w:vMerge w:val="restart"/>
                  <w:vAlign w:val="center"/>
                </w:tcPr>
                <w:p>
                  <w:pPr>
                    <w:pStyle w:val="3"/>
                    <w:spacing w:line="240" w:lineRule="auto"/>
                    <w:ind w:firstLine="0" w:firstLineChars="0"/>
                    <w:jc w:val="center"/>
                    <w:rPr>
                      <w:szCs w:val="21"/>
                    </w:rPr>
                  </w:pPr>
                  <w:r>
                    <w:rPr>
                      <w:szCs w:val="21"/>
                    </w:rPr>
                    <w:t>声源名称</w:t>
                  </w:r>
                </w:p>
              </w:tc>
              <w:tc>
                <w:tcPr>
                  <w:tcW w:w="671" w:type="dxa"/>
                  <w:vMerge w:val="restart"/>
                  <w:vAlign w:val="center"/>
                </w:tcPr>
                <w:p>
                  <w:pPr>
                    <w:pStyle w:val="3"/>
                    <w:spacing w:line="240" w:lineRule="auto"/>
                    <w:ind w:firstLine="0" w:firstLineChars="0"/>
                    <w:jc w:val="center"/>
                    <w:rPr>
                      <w:szCs w:val="21"/>
                    </w:rPr>
                  </w:pPr>
                  <w:r>
                    <w:rPr>
                      <w:szCs w:val="21"/>
                    </w:rPr>
                    <w:t>型号</w:t>
                  </w:r>
                </w:p>
              </w:tc>
              <w:tc>
                <w:tcPr>
                  <w:tcW w:w="1874" w:type="dxa"/>
                  <w:vMerge w:val="restart"/>
                  <w:vAlign w:val="center"/>
                </w:tcPr>
                <w:p>
                  <w:pPr>
                    <w:pStyle w:val="44"/>
                    <w:adjustRightInd w:val="0"/>
                    <w:snapToGrid w:val="0"/>
                    <w:rPr>
                      <w:rFonts w:cs="Times New Roman"/>
                      <w:color w:val="auto"/>
                      <w:szCs w:val="21"/>
                    </w:rPr>
                  </w:pPr>
                  <w:r>
                    <w:rPr>
                      <w:rFonts w:cs="Times New Roman"/>
                      <w:color w:val="auto"/>
                      <w:szCs w:val="21"/>
                    </w:rPr>
                    <w:t>(声压级/距声源距离)/([dB(A)]/m)</w:t>
                  </w:r>
                </w:p>
              </w:tc>
              <w:tc>
                <w:tcPr>
                  <w:tcW w:w="872" w:type="dxa"/>
                  <w:vMerge w:val="restart"/>
                  <w:vAlign w:val="center"/>
                </w:tcPr>
                <w:p>
                  <w:pPr>
                    <w:pStyle w:val="44"/>
                    <w:adjustRightInd w:val="0"/>
                    <w:snapToGrid w:val="0"/>
                    <w:rPr>
                      <w:rFonts w:cs="Times New Roman"/>
                      <w:color w:val="auto"/>
                      <w:szCs w:val="21"/>
                    </w:rPr>
                  </w:pPr>
                  <w:r>
                    <w:rPr>
                      <w:rFonts w:cs="Times New Roman"/>
                      <w:color w:val="auto"/>
                      <w:szCs w:val="21"/>
                    </w:rPr>
                    <w:t>数量(台)</w:t>
                  </w:r>
                </w:p>
              </w:tc>
              <w:tc>
                <w:tcPr>
                  <w:tcW w:w="2126" w:type="dxa"/>
                  <w:vMerge w:val="restart"/>
                  <w:vAlign w:val="center"/>
                </w:tcPr>
                <w:p>
                  <w:pPr>
                    <w:pStyle w:val="44"/>
                    <w:adjustRightInd w:val="0"/>
                    <w:snapToGrid w:val="0"/>
                    <w:rPr>
                      <w:rFonts w:cs="Times New Roman"/>
                      <w:color w:val="auto"/>
                      <w:szCs w:val="21"/>
                    </w:rPr>
                  </w:pPr>
                  <w:r>
                    <w:rPr>
                      <w:rFonts w:cs="Times New Roman"/>
                      <w:color w:val="auto"/>
                      <w:szCs w:val="21"/>
                    </w:rPr>
                    <w:t>声源控制措施</w:t>
                  </w:r>
                </w:p>
              </w:tc>
              <w:tc>
                <w:tcPr>
                  <w:tcW w:w="1438" w:type="dxa"/>
                  <w:vMerge w:val="restart"/>
                  <w:vAlign w:val="center"/>
                </w:tcPr>
                <w:p>
                  <w:pPr>
                    <w:pStyle w:val="44"/>
                    <w:adjustRightInd w:val="0"/>
                    <w:snapToGrid w:val="0"/>
                    <w:rPr>
                      <w:rFonts w:cs="Times New Roman"/>
                      <w:color w:val="auto"/>
                      <w:szCs w:val="21"/>
                    </w:rPr>
                  </w:pPr>
                  <w:r>
                    <w:rPr>
                      <w:rFonts w:cs="Times New Roman"/>
                      <w:color w:val="auto"/>
                      <w:szCs w:val="21"/>
                    </w:rPr>
                    <w:t>治理后声压级[dB(A)]</w:t>
                  </w:r>
                </w:p>
              </w:tc>
              <w:tc>
                <w:tcPr>
                  <w:tcW w:w="2106" w:type="dxa"/>
                  <w:gridSpan w:val="3"/>
                  <w:vAlign w:val="center"/>
                </w:tcPr>
                <w:p>
                  <w:pPr>
                    <w:pStyle w:val="44"/>
                    <w:adjustRightInd w:val="0"/>
                    <w:snapToGrid w:val="0"/>
                    <w:rPr>
                      <w:rFonts w:cs="Times New Roman"/>
                      <w:color w:val="auto"/>
                      <w:szCs w:val="21"/>
                    </w:rPr>
                  </w:pPr>
                  <w:r>
                    <w:rPr>
                      <w:rFonts w:cs="Times New Roman"/>
                      <w:color w:val="000000" w:themeColor="text1"/>
                      <w:szCs w:val="21"/>
                      <w14:textFill>
                        <w14:solidFill>
                          <w14:schemeClr w14:val="tx1"/>
                        </w14:solidFill>
                      </w14:textFill>
                    </w:rPr>
                    <w:t>空间相对位置/m</w:t>
                  </w:r>
                </w:p>
              </w:tc>
              <w:tc>
                <w:tcPr>
                  <w:tcW w:w="1153" w:type="dxa"/>
                  <w:vMerge w:val="restart"/>
                  <w:vAlign w:val="center"/>
                </w:tcPr>
                <w:p>
                  <w:pPr>
                    <w:pStyle w:val="44"/>
                    <w:adjustRightInd w:val="0"/>
                    <w:snapToGrid w:val="0"/>
                    <w:rPr>
                      <w:szCs w:val="21"/>
                    </w:rPr>
                  </w:pPr>
                  <w:r>
                    <w:rPr>
                      <w:rFonts w:cs="Times New Roman"/>
                      <w:color w:val="auto"/>
                      <w:szCs w:val="21"/>
                    </w:rPr>
                    <w:t>运行时段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616" w:type="dxa"/>
                  <w:vMerge w:val="continue"/>
                  <w:vAlign w:val="center"/>
                </w:tcPr>
                <w:p>
                  <w:pPr>
                    <w:pStyle w:val="3"/>
                    <w:spacing w:line="240" w:lineRule="auto"/>
                    <w:ind w:firstLine="0" w:firstLineChars="0"/>
                    <w:jc w:val="center"/>
                    <w:rPr>
                      <w:b w:val="0"/>
                      <w:szCs w:val="21"/>
                    </w:rPr>
                  </w:pPr>
                </w:p>
              </w:tc>
              <w:tc>
                <w:tcPr>
                  <w:tcW w:w="1223" w:type="dxa"/>
                  <w:vMerge w:val="continue"/>
                  <w:vAlign w:val="center"/>
                </w:tcPr>
                <w:p>
                  <w:pPr>
                    <w:pStyle w:val="3"/>
                    <w:spacing w:line="240" w:lineRule="auto"/>
                    <w:ind w:firstLine="0" w:firstLineChars="0"/>
                    <w:jc w:val="center"/>
                    <w:rPr>
                      <w:b w:val="0"/>
                      <w:szCs w:val="21"/>
                    </w:rPr>
                  </w:pPr>
                </w:p>
              </w:tc>
              <w:tc>
                <w:tcPr>
                  <w:tcW w:w="671" w:type="dxa"/>
                  <w:vMerge w:val="continue"/>
                  <w:vAlign w:val="center"/>
                </w:tcPr>
                <w:p>
                  <w:pPr>
                    <w:pStyle w:val="3"/>
                    <w:spacing w:line="240" w:lineRule="auto"/>
                    <w:ind w:firstLine="0" w:firstLineChars="0"/>
                    <w:jc w:val="center"/>
                    <w:rPr>
                      <w:b w:val="0"/>
                      <w:szCs w:val="21"/>
                    </w:rPr>
                  </w:pPr>
                </w:p>
              </w:tc>
              <w:tc>
                <w:tcPr>
                  <w:tcW w:w="1874" w:type="dxa"/>
                  <w:vMerge w:val="continue"/>
                  <w:vAlign w:val="center"/>
                </w:tcPr>
                <w:p>
                  <w:pPr>
                    <w:pStyle w:val="44"/>
                    <w:adjustRightInd w:val="0"/>
                    <w:snapToGrid w:val="0"/>
                    <w:rPr>
                      <w:rFonts w:cs="Times New Roman"/>
                      <w:b w:val="0"/>
                      <w:color w:val="auto"/>
                      <w:szCs w:val="21"/>
                    </w:rPr>
                  </w:pPr>
                </w:p>
              </w:tc>
              <w:tc>
                <w:tcPr>
                  <w:tcW w:w="872" w:type="dxa"/>
                  <w:vMerge w:val="continue"/>
                  <w:vAlign w:val="center"/>
                </w:tcPr>
                <w:p>
                  <w:pPr>
                    <w:pStyle w:val="44"/>
                    <w:adjustRightInd w:val="0"/>
                    <w:snapToGrid w:val="0"/>
                    <w:rPr>
                      <w:rFonts w:cs="Times New Roman"/>
                      <w:b w:val="0"/>
                      <w:color w:val="auto"/>
                      <w:szCs w:val="21"/>
                    </w:rPr>
                  </w:pPr>
                </w:p>
              </w:tc>
              <w:tc>
                <w:tcPr>
                  <w:tcW w:w="2126" w:type="dxa"/>
                  <w:vMerge w:val="continue"/>
                  <w:vAlign w:val="center"/>
                </w:tcPr>
                <w:p>
                  <w:pPr>
                    <w:pStyle w:val="44"/>
                    <w:adjustRightInd w:val="0"/>
                    <w:snapToGrid w:val="0"/>
                    <w:rPr>
                      <w:rFonts w:cs="Times New Roman"/>
                      <w:b w:val="0"/>
                      <w:color w:val="auto"/>
                      <w:szCs w:val="21"/>
                    </w:rPr>
                  </w:pPr>
                </w:p>
              </w:tc>
              <w:tc>
                <w:tcPr>
                  <w:tcW w:w="1438" w:type="dxa"/>
                  <w:vMerge w:val="continue"/>
                  <w:vAlign w:val="center"/>
                </w:tcPr>
                <w:p>
                  <w:pPr>
                    <w:pStyle w:val="44"/>
                    <w:adjustRightInd w:val="0"/>
                    <w:snapToGrid w:val="0"/>
                    <w:rPr>
                      <w:rFonts w:cs="Times New Roman"/>
                      <w:b w:val="0"/>
                      <w:color w:val="auto"/>
                      <w:szCs w:val="21"/>
                    </w:rPr>
                  </w:pPr>
                </w:p>
              </w:tc>
              <w:tc>
                <w:tcPr>
                  <w:tcW w:w="688" w:type="dxa"/>
                  <w:vAlign w:val="center"/>
                </w:tcPr>
                <w:p>
                  <w:pPr>
                    <w:pStyle w:val="44"/>
                    <w:adjustRightInd w:val="0"/>
                    <w:snapToGrid w:val="0"/>
                    <w:rPr>
                      <w:rFonts w:cs="Times New Roman"/>
                      <w:color w:val="auto"/>
                      <w:szCs w:val="21"/>
                    </w:rPr>
                  </w:pPr>
                  <w:r>
                    <w:rPr>
                      <w:rFonts w:cs="Times New Roman"/>
                      <w:color w:val="auto"/>
                      <w:szCs w:val="21"/>
                    </w:rPr>
                    <w:t>X</w:t>
                  </w:r>
                </w:p>
              </w:tc>
              <w:tc>
                <w:tcPr>
                  <w:tcW w:w="709" w:type="dxa"/>
                  <w:vAlign w:val="center"/>
                </w:tcPr>
                <w:p>
                  <w:pPr>
                    <w:pStyle w:val="44"/>
                    <w:adjustRightInd w:val="0"/>
                    <w:snapToGrid w:val="0"/>
                    <w:rPr>
                      <w:rFonts w:cs="Times New Roman"/>
                      <w:color w:val="auto"/>
                      <w:szCs w:val="21"/>
                    </w:rPr>
                  </w:pPr>
                  <w:r>
                    <w:rPr>
                      <w:rFonts w:cs="Times New Roman"/>
                      <w:color w:val="auto"/>
                      <w:szCs w:val="21"/>
                    </w:rPr>
                    <w:t>Y</w:t>
                  </w:r>
                </w:p>
              </w:tc>
              <w:tc>
                <w:tcPr>
                  <w:tcW w:w="709" w:type="dxa"/>
                  <w:vAlign w:val="center"/>
                </w:tcPr>
                <w:p>
                  <w:pPr>
                    <w:pStyle w:val="44"/>
                    <w:adjustRightInd w:val="0"/>
                    <w:snapToGrid w:val="0"/>
                    <w:rPr>
                      <w:rFonts w:cs="Times New Roman"/>
                      <w:color w:val="auto"/>
                      <w:szCs w:val="21"/>
                    </w:rPr>
                  </w:pPr>
                  <w:r>
                    <w:rPr>
                      <w:rFonts w:cs="Times New Roman"/>
                      <w:color w:val="auto"/>
                      <w:szCs w:val="21"/>
                    </w:rPr>
                    <w:t>Z</w:t>
                  </w:r>
                </w:p>
              </w:tc>
              <w:tc>
                <w:tcPr>
                  <w:tcW w:w="1153" w:type="dxa"/>
                  <w:vMerge w:val="continue"/>
                  <w:vAlign w:val="center"/>
                </w:tcPr>
                <w:p>
                  <w:pPr>
                    <w:pStyle w:val="44"/>
                    <w:adjustRightInd w:val="0"/>
                    <w:snapToGrid w:val="0"/>
                    <w:rPr>
                      <w:rFonts w:cs="Times New Roman"/>
                      <w:b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616" w:type="dxa"/>
                  <w:vAlign w:val="center"/>
                </w:tcPr>
                <w:p>
                  <w:pPr>
                    <w:pStyle w:val="3"/>
                    <w:spacing w:line="240" w:lineRule="auto"/>
                    <w:ind w:firstLine="0" w:firstLineChars="0"/>
                    <w:jc w:val="center"/>
                    <w:rPr>
                      <w:b w:val="0"/>
                      <w:szCs w:val="21"/>
                    </w:rPr>
                  </w:pPr>
                  <w:r>
                    <w:rPr>
                      <w:rFonts w:hint="eastAsia"/>
                      <w:b w:val="0"/>
                      <w:szCs w:val="21"/>
                    </w:rPr>
                    <w:t>1</w:t>
                  </w:r>
                </w:p>
              </w:tc>
              <w:tc>
                <w:tcPr>
                  <w:tcW w:w="1223" w:type="dxa"/>
                  <w:shd w:val="clear" w:color="auto" w:fill="auto"/>
                  <w:vAlign w:val="center"/>
                </w:tcPr>
                <w:p>
                  <w:pPr>
                    <w:pStyle w:val="3"/>
                    <w:spacing w:line="240" w:lineRule="auto"/>
                    <w:ind w:firstLine="0" w:firstLineChars="0"/>
                    <w:jc w:val="center"/>
                    <w:rPr>
                      <w:b w:val="0"/>
                      <w:bCs/>
                      <w:szCs w:val="21"/>
                    </w:rPr>
                  </w:pPr>
                  <w:r>
                    <w:rPr>
                      <w:rFonts w:hint="eastAsia"/>
                      <w:b w:val="0"/>
                      <w:bCs/>
                      <w:color w:val="000000" w:themeColor="text1"/>
                      <w14:textFill>
                        <w14:solidFill>
                          <w14:schemeClr w14:val="tx1"/>
                        </w14:solidFill>
                      </w14:textFill>
                    </w:rPr>
                    <w:t>废气</w:t>
                  </w:r>
                  <w:r>
                    <w:rPr>
                      <w:b w:val="0"/>
                      <w:bCs/>
                      <w:color w:val="000000" w:themeColor="text1"/>
                      <w14:textFill>
                        <w14:solidFill>
                          <w14:schemeClr w14:val="tx1"/>
                        </w14:solidFill>
                      </w14:textFill>
                    </w:rPr>
                    <w:t>引风机</w:t>
                  </w:r>
                </w:p>
              </w:tc>
              <w:tc>
                <w:tcPr>
                  <w:tcW w:w="671" w:type="dxa"/>
                  <w:vAlign w:val="center"/>
                </w:tcPr>
                <w:p>
                  <w:pPr>
                    <w:pStyle w:val="3"/>
                    <w:spacing w:line="240" w:lineRule="auto"/>
                    <w:ind w:firstLine="0" w:firstLineChars="0"/>
                    <w:jc w:val="center"/>
                    <w:rPr>
                      <w:b w:val="0"/>
                      <w:bCs/>
                      <w:szCs w:val="21"/>
                    </w:rPr>
                  </w:pPr>
                  <w:r>
                    <w:rPr>
                      <w:b w:val="0"/>
                      <w:bCs/>
                    </w:rPr>
                    <w:t>/</w:t>
                  </w:r>
                </w:p>
              </w:tc>
              <w:tc>
                <w:tcPr>
                  <w:tcW w:w="1874" w:type="dxa"/>
                  <w:vAlign w:val="center"/>
                </w:tcPr>
                <w:p>
                  <w:pPr>
                    <w:pStyle w:val="39"/>
                    <w:adjustRightInd w:val="0"/>
                    <w:snapToGrid w:val="0"/>
                    <w:contextualSpacing w:val="0"/>
                  </w:pPr>
                  <w:r>
                    <w:t>75/1</w:t>
                  </w:r>
                </w:p>
              </w:tc>
              <w:tc>
                <w:tcPr>
                  <w:tcW w:w="872" w:type="dxa"/>
                  <w:vAlign w:val="center"/>
                </w:tcPr>
                <w:p>
                  <w:pPr>
                    <w:adjustRightInd w:val="0"/>
                    <w:snapToGrid w:val="0"/>
                    <w:jc w:val="center"/>
                    <w:rPr>
                      <w:szCs w:val="21"/>
                    </w:rPr>
                  </w:pPr>
                  <w:r>
                    <w:t>1</w:t>
                  </w:r>
                </w:p>
              </w:tc>
              <w:tc>
                <w:tcPr>
                  <w:tcW w:w="2126" w:type="dxa"/>
                  <w:vAlign w:val="center"/>
                </w:tcPr>
                <w:p>
                  <w:pPr>
                    <w:adjustRightInd w:val="0"/>
                    <w:snapToGrid w:val="0"/>
                    <w:jc w:val="center"/>
                    <w:rPr>
                      <w:szCs w:val="21"/>
                    </w:rPr>
                  </w:pPr>
                  <w:r>
                    <w:rPr>
                      <w:color w:val="000000" w:themeColor="text1"/>
                      <w:szCs w:val="21"/>
                      <w14:textFill>
                        <w14:solidFill>
                          <w14:schemeClr w14:val="tx1"/>
                        </w14:solidFill>
                      </w14:textFill>
                    </w:rPr>
                    <w:t>隔声罩壳</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管道外壳阻尼</w:t>
                  </w:r>
                  <w:r>
                    <w:rPr>
                      <w:rFonts w:hint="eastAsia"/>
                      <w:color w:val="000000" w:themeColor="text1"/>
                      <w:szCs w:val="21"/>
                      <w14:textFill>
                        <w14:solidFill>
                          <w14:schemeClr w14:val="tx1"/>
                        </w14:solidFill>
                      </w14:textFill>
                    </w:rPr>
                    <w:t>、基础减振</w:t>
                  </w:r>
                </w:p>
              </w:tc>
              <w:tc>
                <w:tcPr>
                  <w:tcW w:w="1438" w:type="dxa"/>
                  <w:vAlign w:val="center"/>
                </w:tcPr>
                <w:p>
                  <w:pPr>
                    <w:adjustRightInd w:val="0"/>
                    <w:snapToGrid w:val="0"/>
                    <w:jc w:val="center"/>
                    <w:rPr>
                      <w:szCs w:val="21"/>
                    </w:rPr>
                  </w:pPr>
                  <w:r>
                    <w:rPr>
                      <w:color w:val="000000" w:themeColor="text1"/>
                      <w:szCs w:val="21"/>
                      <w14:textFill>
                        <w14:solidFill>
                          <w14:schemeClr w14:val="tx1"/>
                        </w14:solidFill>
                      </w14:textFill>
                    </w:rPr>
                    <w:t>55</w:t>
                  </w:r>
                </w:p>
              </w:tc>
              <w:tc>
                <w:tcPr>
                  <w:tcW w:w="68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09" w:type="dxa"/>
                  <w:vAlign w:val="center"/>
                </w:tcPr>
                <w:p>
                  <w:pPr>
                    <w:adjustRightInd w:val="0"/>
                    <w:snapToGrid w:val="0"/>
                    <w:jc w:val="center"/>
                    <w:rPr>
                      <w:szCs w:val="21"/>
                    </w:rPr>
                  </w:pPr>
                  <w:r>
                    <w:rPr>
                      <w:szCs w:val="21"/>
                    </w:rPr>
                    <w:t>0.5</w:t>
                  </w:r>
                </w:p>
              </w:tc>
              <w:tc>
                <w:tcPr>
                  <w:tcW w:w="1153" w:type="dxa"/>
                  <w:vAlign w:val="center"/>
                </w:tcPr>
                <w:p>
                  <w:pPr>
                    <w:pStyle w:val="44"/>
                    <w:adjustRightInd w:val="0"/>
                    <w:snapToGrid w:val="0"/>
                    <w:rPr>
                      <w:rFonts w:cs="Times New Roman"/>
                      <w:b w:val="0"/>
                      <w:color w:val="auto"/>
                      <w:szCs w:val="21"/>
                    </w:rPr>
                  </w:pPr>
                  <w:r>
                    <w:rPr>
                      <w:b w:val="0"/>
                      <w:szCs w:val="21"/>
                    </w:rPr>
                    <w:t>8:00~18:00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616" w:type="dxa"/>
                  <w:vAlign w:val="center"/>
                </w:tcPr>
                <w:p>
                  <w:pPr>
                    <w:pStyle w:val="3"/>
                    <w:spacing w:line="240" w:lineRule="auto"/>
                    <w:ind w:firstLine="0" w:firstLineChars="0"/>
                    <w:jc w:val="center"/>
                    <w:rPr>
                      <w:b w:val="0"/>
                      <w:szCs w:val="21"/>
                    </w:rPr>
                  </w:pPr>
                  <w:r>
                    <w:rPr>
                      <w:rFonts w:hint="eastAsia"/>
                      <w:b w:val="0"/>
                      <w:szCs w:val="21"/>
                    </w:rPr>
                    <w:t>2</w:t>
                  </w:r>
                </w:p>
              </w:tc>
              <w:tc>
                <w:tcPr>
                  <w:tcW w:w="1223" w:type="dxa"/>
                  <w:shd w:val="clear" w:color="auto" w:fill="auto"/>
                  <w:vAlign w:val="center"/>
                </w:tcPr>
                <w:p>
                  <w:pPr>
                    <w:pStyle w:val="3"/>
                    <w:spacing w:line="240" w:lineRule="auto"/>
                    <w:ind w:firstLine="0" w:firstLineChars="0"/>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泵类</w:t>
                  </w:r>
                </w:p>
              </w:tc>
              <w:tc>
                <w:tcPr>
                  <w:tcW w:w="671" w:type="dxa"/>
                  <w:vAlign w:val="center"/>
                </w:tcPr>
                <w:p>
                  <w:pPr>
                    <w:pStyle w:val="3"/>
                    <w:spacing w:line="240" w:lineRule="auto"/>
                    <w:ind w:firstLine="0" w:firstLineChars="0"/>
                    <w:jc w:val="center"/>
                    <w:rPr>
                      <w:b w:val="0"/>
                      <w:bCs/>
                    </w:rPr>
                  </w:pPr>
                  <w:r>
                    <w:rPr>
                      <w:b w:val="0"/>
                      <w:bCs/>
                    </w:rPr>
                    <w:t>/</w:t>
                  </w:r>
                </w:p>
              </w:tc>
              <w:tc>
                <w:tcPr>
                  <w:tcW w:w="1874" w:type="dxa"/>
                  <w:vAlign w:val="center"/>
                </w:tcPr>
                <w:p>
                  <w:pPr>
                    <w:pStyle w:val="39"/>
                    <w:adjustRightInd w:val="0"/>
                    <w:snapToGrid w:val="0"/>
                    <w:contextualSpacing w:val="0"/>
                  </w:pPr>
                  <w:r>
                    <w:t>75/1</w:t>
                  </w:r>
                </w:p>
              </w:tc>
              <w:tc>
                <w:tcPr>
                  <w:tcW w:w="872" w:type="dxa"/>
                  <w:vAlign w:val="center"/>
                </w:tcPr>
                <w:p>
                  <w:pPr>
                    <w:adjustRightInd w:val="0"/>
                    <w:snapToGrid w:val="0"/>
                    <w:jc w:val="center"/>
                  </w:pPr>
                  <w:r>
                    <w:t>1</w:t>
                  </w:r>
                </w:p>
              </w:tc>
              <w:tc>
                <w:tcPr>
                  <w:tcW w:w="212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隔声罩壳</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外壳阻尼</w:t>
                  </w:r>
                </w:p>
              </w:tc>
              <w:tc>
                <w:tcPr>
                  <w:tcW w:w="14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688" w:type="dxa"/>
                  <w:vAlign w:val="center"/>
                </w:tcPr>
                <w:p>
                  <w:pPr>
                    <w:adjustRightInd w:val="0"/>
                    <w:snapToGrid w:val="0"/>
                    <w:jc w:val="center"/>
                    <w:rPr>
                      <w:szCs w:val="21"/>
                    </w:rPr>
                  </w:pPr>
                  <w:r>
                    <w:rPr>
                      <w:rFonts w:hint="eastAsia"/>
                      <w:szCs w:val="21"/>
                    </w:rPr>
                    <w:t>6</w:t>
                  </w:r>
                  <w:r>
                    <w:rPr>
                      <w:szCs w:val="21"/>
                    </w:rPr>
                    <w:t>0</w:t>
                  </w:r>
                </w:p>
              </w:tc>
              <w:tc>
                <w:tcPr>
                  <w:tcW w:w="709" w:type="dxa"/>
                  <w:vAlign w:val="center"/>
                </w:tcPr>
                <w:p>
                  <w:pPr>
                    <w:adjustRightInd w:val="0"/>
                    <w:snapToGrid w:val="0"/>
                    <w:jc w:val="center"/>
                    <w:rPr>
                      <w:szCs w:val="21"/>
                    </w:rPr>
                  </w:pPr>
                  <w:r>
                    <w:rPr>
                      <w:szCs w:val="21"/>
                    </w:rPr>
                    <w:t>-0.5</w:t>
                  </w:r>
                </w:p>
              </w:tc>
              <w:tc>
                <w:tcPr>
                  <w:tcW w:w="709" w:type="dxa"/>
                  <w:vAlign w:val="center"/>
                </w:tcPr>
                <w:p>
                  <w:pPr>
                    <w:adjustRightInd w:val="0"/>
                    <w:snapToGrid w:val="0"/>
                    <w:jc w:val="center"/>
                    <w:rPr>
                      <w:szCs w:val="21"/>
                    </w:rPr>
                  </w:pPr>
                  <w:r>
                    <w:rPr>
                      <w:rFonts w:hint="eastAsia"/>
                      <w:szCs w:val="21"/>
                    </w:rPr>
                    <w:t>0</w:t>
                  </w:r>
                  <w:r>
                    <w:rPr>
                      <w:szCs w:val="21"/>
                    </w:rPr>
                    <w:t>.3</w:t>
                  </w:r>
                </w:p>
              </w:tc>
              <w:tc>
                <w:tcPr>
                  <w:tcW w:w="1153" w:type="dxa"/>
                  <w:vAlign w:val="center"/>
                </w:tcPr>
                <w:p>
                  <w:pPr>
                    <w:pStyle w:val="44"/>
                    <w:adjustRightInd w:val="0"/>
                    <w:snapToGrid w:val="0"/>
                    <w:rPr>
                      <w:b w:val="0"/>
                      <w:szCs w:val="21"/>
                    </w:rPr>
                  </w:pPr>
                  <w:r>
                    <w:rPr>
                      <w:b w:val="0"/>
                      <w:szCs w:val="21"/>
                    </w:rPr>
                    <w:t>8:00~18:00</w:t>
                  </w:r>
                </w:p>
              </w:tc>
            </w:tr>
          </w:tbl>
          <w:p>
            <w:pPr>
              <w:pStyle w:val="3"/>
              <w:spacing w:line="460" w:lineRule="exact"/>
              <w:ind w:firstLine="480"/>
              <w:rPr>
                <w:rFonts w:eastAsia="黑体"/>
                <w:b w:val="0"/>
                <w:bCs/>
                <w:color w:val="000000" w:themeColor="text1"/>
                <w:sz w:val="24"/>
                <w14:textFill>
                  <w14:solidFill>
                    <w14:schemeClr w14:val="tx1"/>
                  </w14:solidFill>
                </w14:textFill>
              </w:rPr>
            </w:pPr>
            <w:r>
              <w:rPr>
                <w:rFonts w:eastAsia="黑体"/>
                <w:b w:val="0"/>
                <w:bCs/>
                <w:color w:val="000000" w:themeColor="text1"/>
                <w:sz w:val="24"/>
                <w14:textFill>
                  <w14:solidFill>
                    <w14:schemeClr w14:val="tx1"/>
                  </w14:solidFill>
                </w14:textFill>
              </w:rPr>
              <w:t>表</w:t>
            </w:r>
            <w:r>
              <w:rPr>
                <w:rFonts w:hint="eastAsia" w:eastAsia="黑体"/>
                <w:b w:val="0"/>
                <w:bCs/>
                <w:color w:val="000000" w:themeColor="text1"/>
                <w:sz w:val="24"/>
                <w14:textFill>
                  <w14:solidFill>
                    <w14:schemeClr w14:val="tx1"/>
                  </w14:solidFill>
                </w14:textFill>
              </w:rPr>
              <w:t>3</w:t>
            </w:r>
            <w:r>
              <w:rPr>
                <w:rFonts w:eastAsia="黑体"/>
                <w:b w:val="0"/>
                <w:bCs/>
                <w:color w:val="000000" w:themeColor="text1"/>
                <w:sz w:val="24"/>
                <w14:textFill>
                  <w14:solidFill>
                    <w14:schemeClr w14:val="tx1"/>
                  </w14:solidFill>
                </w14:textFill>
              </w:rPr>
              <w:t>6                          工业企业噪声源强调查清单（室内声源）</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26"/>
              <w:gridCol w:w="547"/>
              <w:gridCol w:w="548"/>
              <w:gridCol w:w="555"/>
              <w:gridCol w:w="1177"/>
              <w:gridCol w:w="568"/>
              <w:gridCol w:w="1013"/>
              <w:gridCol w:w="753"/>
              <w:gridCol w:w="753"/>
              <w:gridCol w:w="546"/>
              <w:gridCol w:w="573"/>
              <w:gridCol w:w="466"/>
              <w:gridCol w:w="702"/>
              <w:gridCol w:w="715"/>
              <w:gridCol w:w="573"/>
              <w:gridCol w:w="697"/>
              <w:gridCol w:w="872"/>
              <w:gridCol w:w="720"/>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序号</w:t>
                  </w:r>
                </w:p>
              </w:tc>
              <w:tc>
                <w:tcPr>
                  <w:tcW w:w="541"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建筑物名称</w:t>
                  </w:r>
                </w:p>
              </w:tc>
              <w:tc>
                <w:tcPr>
                  <w:tcW w:w="542"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声源名称</w:t>
                  </w:r>
                </w:p>
              </w:tc>
              <w:tc>
                <w:tcPr>
                  <w:tcW w:w="549"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型号</w:t>
                  </w:r>
                </w:p>
              </w:tc>
              <w:tc>
                <w:tcPr>
                  <w:tcW w:w="1165"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(声压级/距声源距离)/ ([dB(A)]/m)</w:t>
                  </w:r>
                </w:p>
              </w:tc>
              <w:tc>
                <w:tcPr>
                  <w:tcW w:w="562"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数量(台)</w:t>
                  </w:r>
                </w:p>
              </w:tc>
              <w:tc>
                <w:tcPr>
                  <w:tcW w:w="1003"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声源控制措施</w:t>
                  </w:r>
                </w:p>
              </w:tc>
              <w:tc>
                <w:tcPr>
                  <w:tcW w:w="745"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治理后声压级[dB(A)]</w:t>
                  </w:r>
                </w:p>
              </w:tc>
              <w:tc>
                <w:tcPr>
                  <w:tcW w:w="745"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声压级叠加值[dB(A)]</w:t>
                  </w:r>
                </w:p>
              </w:tc>
              <w:tc>
                <w:tcPr>
                  <w:tcW w:w="1568" w:type="dxa"/>
                  <w:gridSpan w:val="3"/>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空间相对位置/m</w:t>
                  </w:r>
                </w:p>
              </w:tc>
              <w:tc>
                <w:tcPr>
                  <w:tcW w:w="695"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距室内边界距离/m</w:t>
                  </w:r>
                </w:p>
              </w:tc>
              <w:tc>
                <w:tcPr>
                  <w:tcW w:w="708"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室内边界声级/dB(A)</w:t>
                  </w:r>
                </w:p>
              </w:tc>
              <w:tc>
                <w:tcPr>
                  <w:tcW w:w="567"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运行时段</w:t>
                  </w:r>
                </w:p>
              </w:tc>
              <w:tc>
                <w:tcPr>
                  <w:tcW w:w="690" w:type="dxa"/>
                  <w:vMerge w:val="restart"/>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建筑插入损失/dB(A)</w:t>
                  </w:r>
                </w:p>
              </w:tc>
              <w:tc>
                <w:tcPr>
                  <w:tcW w:w="1576" w:type="dxa"/>
                  <w:gridSpan w:val="2"/>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建筑物外噪声</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41"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42"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49"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1165"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62"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1003"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745"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745"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40" w:type="dxa"/>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X</w:t>
                  </w:r>
                </w:p>
              </w:tc>
              <w:tc>
                <w:tcPr>
                  <w:tcW w:w="567" w:type="dxa"/>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Y</w:t>
                  </w:r>
                </w:p>
              </w:tc>
              <w:tc>
                <w:tcPr>
                  <w:tcW w:w="461" w:type="dxa"/>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Z</w:t>
                  </w:r>
                </w:p>
              </w:tc>
              <w:tc>
                <w:tcPr>
                  <w:tcW w:w="695"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708"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567"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690" w:type="dxa"/>
                  <w:vMerge w:val="continue"/>
                  <w:vAlign w:val="center"/>
                </w:tcPr>
                <w:p>
                  <w:pPr>
                    <w:pStyle w:val="44"/>
                    <w:adjustRightInd w:val="0"/>
                    <w:snapToGrid w:val="0"/>
                    <w:rPr>
                      <w:rFonts w:cs="Times New Roman"/>
                      <w:color w:val="000000" w:themeColor="text1"/>
                      <w:szCs w:val="21"/>
                      <w14:textFill>
                        <w14:solidFill>
                          <w14:schemeClr w14:val="tx1"/>
                        </w14:solidFill>
                      </w14:textFill>
                    </w:rPr>
                  </w:pPr>
                </w:p>
              </w:tc>
              <w:tc>
                <w:tcPr>
                  <w:tcW w:w="863" w:type="dxa"/>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声压级/dB(A)</w:t>
                  </w:r>
                </w:p>
              </w:tc>
              <w:tc>
                <w:tcPr>
                  <w:tcW w:w="713" w:type="dxa"/>
                  <w:vAlign w:val="center"/>
                </w:tcPr>
                <w:p>
                  <w:pPr>
                    <w:pStyle w:val="44"/>
                    <w:adjustRightInd w:val="0"/>
                    <w:snapToGrid w:val="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建筑物外距离</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41"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542"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rPr>
                    <w:t>平面口罩全自动口罩机</w:t>
                  </w:r>
                </w:p>
              </w:tc>
              <w:tc>
                <w:tcPr>
                  <w:tcW w:w="549"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65"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85/1</w:t>
                  </w:r>
                </w:p>
              </w:tc>
              <w:tc>
                <w:tcPr>
                  <w:tcW w:w="562"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03" w:type="dxa"/>
                  <w:vMerge w:val="restart"/>
                  <w:vAlign w:val="center"/>
                </w:tcPr>
                <w:p>
                  <w:pPr>
                    <w:jc w:val="center"/>
                    <w:rPr>
                      <w:color w:val="000000" w:themeColor="text1"/>
                      <w:szCs w:val="21"/>
                      <w14:textFill>
                        <w14:solidFill>
                          <w14:schemeClr w14:val="tx1"/>
                        </w14:solidFill>
                      </w14:textFill>
                    </w:rPr>
                  </w:pPr>
                  <w:r>
                    <w:rPr>
                      <w:rFonts w:hint="eastAsia"/>
                      <w:color w:val="000000"/>
                      <w:szCs w:val="21"/>
                    </w:rPr>
                    <w:t>消音、密闭隔音、</w:t>
                  </w:r>
                  <w:r>
                    <w:rPr>
                      <w:rFonts w:hint="eastAsia"/>
                      <w:color w:val="000000" w:themeColor="text1"/>
                      <w:szCs w:val="21"/>
                      <w14:textFill>
                        <w14:solidFill>
                          <w14:schemeClr w14:val="tx1"/>
                        </w14:solidFill>
                      </w14:textFill>
                    </w:rPr>
                    <w:t>基础减振、</w:t>
                  </w:r>
                  <w:r>
                    <w:rPr>
                      <w:color w:val="000000" w:themeColor="text1"/>
                      <w:szCs w:val="21"/>
                      <w14:textFill>
                        <w14:solidFill>
                          <w14:schemeClr w14:val="tx1"/>
                        </w14:solidFill>
                      </w14:textFill>
                    </w:rPr>
                    <w:t>厂房隔声</w:t>
                  </w:r>
                </w:p>
              </w:tc>
              <w:tc>
                <w:tcPr>
                  <w:tcW w:w="74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745"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6.0</w:t>
                  </w:r>
                </w:p>
              </w:tc>
              <w:tc>
                <w:tcPr>
                  <w:tcW w:w="54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5</w:t>
                  </w:r>
                </w:p>
              </w:tc>
              <w:tc>
                <w:tcPr>
                  <w:tcW w:w="56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5</w:t>
                  </w:r>
                </w:p>
              </w:tc>
              <w:tc>
                <w:tcPr>
                  <w:tcW w:w="46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东1</w:t>
                  </w:r>
                  <w:r>
                    <w:rPr>
                      <w:color w:val="000000" w:themeColor="text1"/>
                      <w:szCs w:val="21"/>
                      <w14:textFill>
                        <w14:solidFill>
                          <w14:schemeClr w14:val="tx1"/>
                        </w14:solidFill>
                      </w14:textFill>
                    </w:rPr>
                    <w:t>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2.5</w:t>
                  </w:r>
                </w:p>
              </w:tc>
              <w:tc>
                <w:tcPr>
                  <w:tcW w:w="567"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8:00~</w:t>
                  </w:r>
                </w:p>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690"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6.5</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55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1.2</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5.2</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55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1.2</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5.2</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25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8.0</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2.0</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rPr>
                    <w:t>封口机</w:t>
                  </w:r>
                </w:p>
              </w:tc>
              <w:tc>
                <w:tcPr>
                  <w:tcW w:w="549"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5"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5/1</w:t>
                  </w:r>
                </w:p>
              </w:tc>
              <w:tc>
                <w:tcPr>
                  <w:tcW w:w="562"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03" w:type="dxa"/>
                  <w:vMerge w:val="restart"/>
                  <w:vAlign w:val="center"/>
                </w:tcPr>
                <w:p>
                  <w:pPr>
                    <w:jc w:val="center"/>
                    <w:rPr>
                      <w:color w:val="000000" w:themeColor="text1"/>
                      <w:szCs w:val="21"/>
                      <w14:textFill>
                        <w14:solidFill>
                          <w14:schemeClr w14:val="tx1"/>
                        </w14:solidFill>
                      </w14:textFill>
                    </w:rPr>
                  </w:pPr>
                  <w:r>
                    <w:rPr>
                      <w:rFonts w:hint="eastAsia"/>
                      <w:color w:val="000000"/>
                      <w:szCs w:val="21"/>
                    </w:rPr>
                    <w:t>消音、密闭隔音、</w:t>
                  </w:r>
                  <w:r>
                    <w:rPr>
                      <w:rFonts w:hint="eastAsia"/>
                      <w:color w:val="000000" w:themeColor="text1"/>
                      <w:szCs w:val="21"/>
                      <w14:textFill>
                        <w14:solidFill>
                          <w14:schemeClr w14:val="tx1"/>
                        </w14:solidFill>
                      </w14:textFill>
                    </w:rPr>
                    <w:t>基础减振、</w:t>
                  </w:r>
                  <w:r>
                    <w:rPr>
                      <w:color w:val="000000" w:themeColor="text1"/>
                      <w:szCs w:val="21"/>
                      <w14:textFill>
                        <w14:solidFill>
                          <w14:schemeClr w14:val="tx1"/>
                        </w14:solidFill>
                      </w14:textFill>
                    </w:rPr>
                    <w:t>厂房隔声</w:t>
                  </w:r>
                </w:p>
              </w:tc>
              <w:tc>
                <w:tcPr>
                  <w:tcW w:w="745"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745"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p>
              </w:tc>
              <w:tc>
                <w:tcPr>
                  <w:tcW w:w="54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5</w:t>
                  </w:r>
                </w:p>
              </w:tc>
              <w:tc>
                <w:tcPr>
                  <w:tcW w:w="56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0</w:t>
                  </w:r>
                </w:p>
              </w:tc>
              <w:tc>
                <w:tcPr>
                  <w:tcW w:w="46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25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5.0</w:t>
                  </w:r>
                </w:p>
              </w:tc>
              <w:tc>
                <w:tcPr>
                  <w:tcW w:w="567"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8:00~</w:t>
                  </w:r>
                </w:p>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690"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9.0</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60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7.4</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1.4</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45</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9.9</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3.9</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北2</w:t>
                  </w:r>
                  <w:r>
                    <w:rPr>
                      <w:color w:val="000000" w:themeColor="text1"/>
                      <w:szCs w:val="21"/>
                      <w14:textFill>
                        <w14:solidFill>
                          <w14:schemeClr w14:val="tx1"/>
                        </w14:solidFill>
                      </w14:textFill>
                    </w:rPr>
                    <w:t>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7.0</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1.0</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rPr>
                    <w:t>打包机</w:t>
                  </w:r>
                </w:p>
              </w:tc>
              <w:tc>
                <w:tcPr>
                  <w:tcW w:w="549"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5"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80/1</w:t>
                  </w:r>
                </w:p>
              </w:tc>
              <w:tc>
                <w:tcPr>
                  <w:tcW w:w="562"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03" w:type="dxa"/>
                  <w:vMerge w:val="restart"/>
                  <w:vAlign w:val="center"/>
                </w:tcPr>
                <w:p>
                  <w:pPr>
                    <w:jc w:val="center"/>
                    <w:rPr>
                      <w:color w:val="000000" w:themeColor="text1"/>
                      <w:szCs w:val="21"/>
                      <w14:textFill>
                        <w14:solidFill>
                          <w14:schemeClr w14:val="tx1"/>
                        </w14:solidFill>
                      </w14:textFill>
                    </w:rPr>
                  </w:pPr>
                  <w:r>
                    <w:rPr>
                      <w:rFonts w:hint="eastAsia"/>
                      <w:color w:val="000000"/>
                      <w:szCs w:val="21"/>
                    </w:rPr>
                    <w:t>消音、密闭隔音、</w:t>
                  </w:r>
                  <w:r>
                    <w:rPr>
                      <w:rFonts w:hint="eastAsia"/>
                      <w:color w:val="000000" w:themeColor="text1"/>
                      <w:szCs w:val="21"/>
                      <w14:textFill>
                        <w14:solidFill>
                          <w14:schemeClr w14:val="tx1"/>
                        </w14:solidFill>
                      </w14:textFill>
                    </w:rPr>
                    <w:t>基础减振、</w:t>
                  </w:r>
                  <w:r>
                    <w:rPr>
                      <w:color w:val="000000" w:themeColor="text1"/>
                      <w:szCs w:val="21"/>
                      <w14:textFill>
                        <w14:solidFill>
                          <w14:schemeClr w14:val="tx1"/>
                        </w14:solidFill>
                      </w14:textFill>
                    </w:rPr>
                    <w:t>厂房隔声</w:t>
                  </w:r>
                </w:p>
              </w:tc>
              <w:tc>
                <w:tcPr>
                  <w:tcW w:w="74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745"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54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w:t>
                  </w:r>
                </w:p>
              </w:tc>
              <w:tc>
                <w:tcPr>
                  <w:tcW w:w="56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0</w:t>
                  </w:r>
                </w:p>
              </w:tc>
              <w:tc>
                <w:tcPr>
                  <w:tcW w:w="46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30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5.5</w:t>
                  </w:r>
                </w:p>
              </w:tc>
              <w:tc>
                <w:tcPr>
                  <w:tcW w:w="567" w:type="dxa"/>
                  <w:vMerge w:val="restart"/>
                  <w:vAlign w:val="center"/>
                </w:tcPr>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8:00~</w:t>
                  </w:r>
                </w:p>
                <w:p>
                  <w:pPr>
                    <w:pStyle w:val="39"/>
                    <w:adjustRightInd w:val="0"/>
                    <w:snapToGrid w:val="0"/>
                    <w:contextualSpacing w:val="0"/>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690" w:type="dxa"/>
                  <w:vMerge w:val="restart"/>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9.5</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60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9.4</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3.4</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40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3.0</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7.0</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3"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1"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9" w:type="dxa"/>
                  <w:vMerge w:val="continue"/>
                  <w:vAlign w:val="center"/>
                </w:tcPr>
                <w:p>
                  <w:pPr>
                    <w:pStyle w:val="39"/>
                    <w:adjustRightInd w:val="0"/>
                    <w:snapToGrid w:val="0"/>
                    <w:contextualSpacing w:val="0"/>
                    <w:rPr>
                      <w:rFonts w:eastAsia="MS Gothic"/>
                      <w:color w:val="000000" w:themeColor="text1"/>
                      <w14:textFill>
                        <w14:solidFill>
                          <w14:schemeClr w14:val="tx1"/>
                        </w14:solidFill>
                      </w14:textFill>
                    </w:rPr>
                  </w:pPr>
                </w:p>
              </w:tc>
              <w:tc>
                <w:tcPr>
                  <w:tcW w:w="116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62"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1003"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jc w:val="center"/>
                    <w:rPr>
                      <w:color w:val="000000" w:themeColor="text1"/>
                      <w:szCs w:val="21"/>
                      <w14:textFill>
                        <w14:solidFill>
                          <w14:schemeClr w14:val="tx1"/>
                        </w14:solidFill>
                      </w14:textFill>
                    </w:rPr>
                  </w:pPr>
                </w:p>
              </w:tc>
              <w:tc>
                <w:tcPr>
                  <w:tcW w:w="745"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540" w:type="dxa"/>
                  <w:vMerge w:val="continue"/>
                  <w:vAlign w:val="center"/>
                </w:tcPr>
                <w:p>
                  <w:pPr>
                    <w:jc w:val="center"/>
                    <w:rPr>
                      <w:color w:val="000000" w:themeColor="text1"/>
                      <w:szCs w:val="21"/>
                      <w14:textFill>
                        <w14:solidFill>
                          <w14:schemeClr w14:val="tx1"/>
                        </w14:solidFill>
                      </w14:textFill>
                    </w:rPr>
                  </w:pPr>
                </w:p>
              </w:tc>
              <w:tc>
                <w:tcPr>
                  <w:tcW w:w="567" w:type="dxa"/>
                  <w:vMerge w:val="continue"/>
                  <w:vAlign w:val="center"/>
                </w:tcPr>
                <w:p>
                  <w:pPr>
                    <w:jc w:val="center"/>
                    <w:rPr>
                      <w:color w:val="000000" w:themeColor="text1"/>
                      <w:szCs w:val="21"/>
                      <w14:textFill>
                        <w14:solidFill>
                          <w14:schemeClr w14:val="tx1"/>
                        </w14:solidFill>
                      </w14:textFill>
                    </w:rPr>
                  </w:pPr>
                </w:p>
              </w:tc>
              <w:tc>
                <w:tcPr>
                  <w:tcW w:w="461" w:type="dxa"/>
                  <w:vMerge w:val="continue"/>
                  <w:vAlign w:val="center"/>
                </w:tcPr>
                <w:p>
                  <w:pPr>
                    <w:jc w:val="center"/>
                    <w:rPr>
                      <w:color w:val="000000" w:themeColor="text1"/>
                      <w:szCs w:val="21"/>
                      <w14:textFill>
                        <w14:solidFill>
                          <w14:schemeClr w14:val="tx1"/>
                        </w14:solidFill>
                      </w14:textFill>
                    </w:rPr>
                  </w:pPr>
                </w:p>
              </w:tc>
              <w:tc>
                <w:tcPr>
                  <w:tcW w:w="69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北2</w:t>
                  </w:r>
                  <w:r>
                    <w:rPr>
                      <w:color w:val="000000" w:themeColor="text1"/>
                      <w:szCs w:val="21"/>
                      <w14:textFill>
                        <w14:solidFill>
                          <w14:schemeClr w14:val="tx1"/>
                        </w14:solidFill>
                      </w14:textFill>
                    </w:rPr>
                    <w:t>0</w:t>
                  </w:r>
                </w:p>
              </w:tc>
              <w:tc>
                <w:tcPr>
                  <w:tcW w:w="70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9.0</w:t>
                  </w:r>
                </w:p>
              </w:tc>
              <w:tc>
                <w:tcPr>
                  <w:tcW w:w="567"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690" w:type="dxa"/>
                  <w:vMerge w:val="continue"/>
                  <w:vAlign w:val="center"/>
                </w:tcPr>
                <w:p>
                  <w:pPr>
                    <w:pStyle w:val="39"/>
                    <w:adjustRightInd w:val="0"/>
                    <w:snapToGrid w:val="0"/>
                    <w:contextualSpacing w:val="0"/>
                    <w:rPr>
                      <w:color w:val="000000" w:themeColor="text1"/>
                      <w14:textFill>
                        <w14:solidFill>
                          <w14:schemeClr w14:val="tx1"/>
                        </w14:solidFill>
                      </w14:textFill>
                    </w:rPr>
                  </w:pPr>
                </w:p>
              </w:tc>
              <w:tc>
                <w:tcPr>
                  <w:tcW w:w="86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3.0</w:t>
                  </w:r>
                </w:p>
              </w:tc>
              <w:tc>
                <w:tcPr>
                  <w:tcW w:w="713" w:type="dxa"/>
                  <w:vAlign w:val="center"/>
                </w:tcPr>
                <w:p>
                  <w:pPr>
                    <w:pStyle w:val="39"/>
                    <w:adjustRightInd w:val="0"/>
                    <w:snapToGrid w:val="0"/>
                    <w:contextualSpacing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r>
          </w:tbl>
          <w:p>
            <w:pPr>
              <w:spacing w:line="460" w:lineRule="exact"/>
              <w:rPr>
                <w:bCs/>
                <w:spacing w:val="-10"/>
                <w:sz w:val="24"/>
              </w:rPr>
            </w:pPr>
          </w:p>
        </w:tc>
      </w:tr>
    </w:tbl>
    <w:p>
      <w:pPr>
        <w:adjustRightInd w:val="0"/>
        <w:snapToGrid w:val="0"/>
        <w:rPr>
          <w:rFonts w:ascii="宋体" w:cs="宋体"/>
          <w:b/>
          <w:kern w:val="0"/>
          <w:sz w:val="18"/>
          <w:szCs w:val="18"/>
        </w:rPr>
        <w:sectPr>
          <w:pgSz w:w="16840" w:h="11907" w:orient="landscape"/>
          <w:pgMar w:top="1531" w:right="1701" w:bottom="1531" w:left="2127" w:header="851" w:footer="851" w:gutter="0"/>
          <w:cols w:space="720" w:num="1"/>
          <w:docGrid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vAlign w:val="center"/>
          </w:tcPr>
          <w:p>
            <w:pPr>
              <w:pStyle w:val="46"/>
              <w:adjustRightInd w:val="0"/>
              <w:snapToGrid w:val="0"/>
              <w:spacing w:line="460" w:lineRule="exact"/>
              <w:ind w:firstLine="482" w:firstLineChars="200"/>
              <w:rPr>
                <w:b/>
                <w:color w:val="000000" w:themeColor="text1"/>
                <w:sz w:val="24"/>
                <w:lang w:val="en-US"/>
                <w14:textFill>
                  <w14:solidFill>
                    <w14:schemeClr w14:val="tx1"/>
                  </w14:solidFill>
                </w14:textFill>
              </w:rPr>
            </w:pPr>
            <w:r>
              <w:rPr>
                <w:b/>
                <w:color w:val="000000" w:themeColor="text1"/>
                <w:sz w:val="24"/>
                <w:lang w:val="en-US"/>
                <w14:textFill>
                  <w14:solidFill>
                    <w14:schemeClr w14:val="tx1"/>
                  </w14:solidFill>
                </w14:textFill>
              </w:rPr>
              <w:t>2、</w:t>
            </w:r>
            <w:r>
              <w:rPr>
                <w:rFonts w:hint="eastAsia"/>
                <w:b/>
                <w:color w:val="000000" w:themeColor="text1"/>
                <w:sz w:val="24"/>
                <w:lang w:val="en-US"/>
                <w14:textFill>
                  <w14:solidFill>
                    <w14:schemeClr w14:val="tx1"/>
                  </w14:solidFill>
                </w14:textFill>
              </w:rPr>
              <w:t>预测计算方法</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①</w:t>
            </w:r>
            <w:r>
              <w:rPr>
                <w:color w:val="000000" w:themeColor="text1"/>
                <w:kern w:val="0"/>
                <w:sz w:val="24"/>
                <w:szCs w:val="20"/>
                <w14:textFill>
                  <w14:solidFill>
                    <w14:schemeClr w14:val="tx1"/>
                  </w14:solidFill>
                </w14:textFill>
              </w:rPr>
              <w:t>噪声源衰减分析方法</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设备声源传播到受声点的距离为</w:t>
            </w:r>
            <w:r>
              <w:rPr>
                <w:color w:val="000000" w:themeColor="text1"/>
                <w:kern w:val="0"/>
                <w:sz w:val="24"/>
                <w:szCs w:val="20"/>
                <w14:textFill>
                  <w14:solidFill>
                    <w14:schemeClr w14:val="tx1"/>
                  </w14:solidFill>
                </w14:textFill>
              </w:rPr>
              <w:drawing>
                <wp:inline distT="0" distB="0" distL="0" distR="0">
                  <wp:extent cx="114300" cy="1428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，厂房高度为</w:t>
            </w:r>
            <w:r>
              <w:rPr>
                <w:color w:val="000000" w:themeColor="text1"/>
                <w:kern w:val="0"/>
                <w:sz w:val="24"/>
                <w:szCs w:val="20"/>
                <w14:textFill>
                  <w14:solidFill>
                    <w14:schemeClr w14:val="tx1"/>
                  </w14:solidFill>
                </w14:textFill>
              </w:rPr>
              <w:drawing>
                <wp:inline distT="0" distB="0" distL="0" distR="0">
                  <wp:extent cx="142875" cy="1428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email"/>
                          <a:srcRect/>
                          <a:stretch>
                            <a:fillRect/>
                          </a:stretch>
                        </pic:blipFill>
                        <pic:spPr>
                          <a:xfrm>
                            <a:off x="0" y="0"/>
                            <a:ext cx="142875"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，厂房的长度为</w:t>
            </w:r>
            <w:r>
              <w:rPr>
                <w:color w:val="000000" w:themeColor="text1"/>
                <w:kern w:val="0"/>
                <w:sz w:val="24"/>
                <w:szCs w:val="20"/>
                <w14:textFill>
                  <w14:solidFill>
                    <w14:schemeClr w14:val="tx1"/>
                  </w14:solidFill>
                </w14:textFill>
              </w:rPr>
              <w:drawing>
                <wp:inline distT="0" distB="0" distL="0" distR="0">
                  <wp:extent cx="142875" cy="1809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email"/>
                          <a:srcRect/>
                          <a:stretch>
                            <a:fillRect/>
                          </a:stretch>
                        </pic:blipFill>
                        <pic:spPr>
                          <a:xfrm>
                            <a:off x="0" y="0"/>
                            <a:ext cx="142875" cy="1809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，对于靠近墙面中心为</w:t>
            </w:r>
            <w:r>
              <w:rPr>
                <w:color w:val="000000" w:themeColor="text1"/>
                <w:kern w:val="0"/>
                <w:sz w:val="24"/>
                <w:szCs w:val="20"/>
                <w14:textFill>
                  <w14:solidFill>
                    <w14:schemeClr w14:val="tx1"/>
                  </w14:solidFill>
                </w14:textFill>
              </w:rPr>
              <w:drawing>
                <wp:inline distT="0" distB="0" distL="0" distR="0">
                  <wp:extent cx="114300" cy="1428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距离的受声点声压级的计算（仅考虑距离衰减）：</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当</w:t>
            </w:r>
            <w:r>
              <w:rPr>
                <w:color w:val="000000" w:themeColor="text1"/>
                <w:kern w:val="0"/>
                <w:sz w:val="24"/>
                <w:szCs w:val="20"/>
                <w14:textFill>
                  <w14:solidFill>
                    <w14:schemeClr w14:val="tx1"/>
                  </w14:solidFill>
                </w14:textFill>
              </w:rPr>
              <w:drawing>
                <wp:inline distT="0" distB="0" distL="0" distR="0">
                  <wp:extent cx="114300" cy="1428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drawing>
                <wp:inline distT="0" distB="0" distL="0" distR="0">
                  <wp:extent cx="323850" cy="1809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cstate="email"/>
                          <a:srcRect/>
                          <a:stretch>
                            <a:fillRect/>
                          </a:stretch>
                        </pic:blipFill>
                        <pic:spPr>
                          <a:xfrm>
                            <a:off x="0" y="0"/>
                            <a:ext cx="323850" cy="1809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，噪声传播途径中的声级值与距离无关，基本上没有明显衰减；</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当</w:t>
            </w:r>
            <w:r>
              <w:rPr>
                <w:color w:val="000000" w:themeColor="text1"/>
                <w:kern w:val="0"/>
                <w:sz w:val="24"/>
                <w:szCs w:val="20"/>
                <w14:textFill>
                  <w14:solidFill>
                    <w14:schemeClr w14:val="tx1"/>
                  </w14:solidFill>
                </w14:textFill>
              </w:rPr>
              <w:drawing>
                <wp:inline distT="0" distB="0" distL="0" distR="0">
                  <wp:extent cx="323850" cy="180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email"/>
                          <a:srcRect/>
                          <a:stretch>
                            <a:fillRect/>
                          </a:stretch>
                        </pic:blipFill>
                        <pic:spPr>
                          <a:xfrm>
                            <a:off x="0" y="0"/>
                            <a:ext cx="323850" cy="1809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drawing>
                <wp:inline distT="0" distB="0" distL="0" distR="0">
                  <wp:extent cx="114300" cy="142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drawing>
                <wp:inline distT="0" distB="0" distL="0" distR="0">
                  <wp:extent cx="304800" cy="1809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email"/>
                          <a:srcRect/>
                          <a:stretch>
                            <a:fillRect/>
                          </a:stretch>
                        </pic:blipFill>
                        <pic:spPr>
                          <a:xfrm>
                            <a:off x="0" y="0"/>
                            <a:ext cx="304800" cy="1809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时，声源面可近似退化为线源，声压级计算公式为：</w:t>
            </w:r>
          </w:p>
          <w:p>
            <w:pPr>
              <w:adjustRightInd w:val="0"/>
              <w:snapToGrid w:val="0"/>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drawing>
                <wp:inline distT="0" distB="0" distL="0" distR="0">
                  <wp:extent cx="1381125" cy="25781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cstate="email"/>
                          <a:srcRect/>
                          <a:stretch>
                            <a:fillRect/>
                          </a:stretch>
                        </pic:blipFill>
                        <pic:spPr>
                          <a:xfrm>
                            <a:off x="0" y="0"/>
                            <a:ext cx="1429457" cy="267246"/>
                          </a:xfrm>
                          <a:prstGeom prst="rect">
                            <a:avLst/>
                          </a:prstGeom>
                          <a:noFill/>
                          <a:ln>
                            <a:noFill/>
                          </a:ln>
                        </pic:spPr>
                      </pic:pic>
                    </a:graphicData>
                  </a:graphic>
                </wp:inline>
              </w:drawing>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当</w:t>
            </w:r>
            <w:r>
              <w:rPr>
                <w:color w:val="000000" w:themeColor="text1"/>
                <w:kern w:val="0"/>
                <w:sz w:val="24"/>
                <w:szCs w:val="20"/>
                <w14:textFill>
                  <w14:solidFill>
                    <w14:schemeClr w14:val="tx1"/>
                  </w14:solidFill>
                </w14:textFill>
              </w:rPr>
              <w:drawing>
                <wp:inline distT="0" distB="0" distL="0" distR="0">
                  <wp:extent cx="114300" cy="1428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drawing>
                <wp:inline distT="0" distB="0" distL="0" distR="0">
                  <wp:extent cx="304800" cy="1809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email"/>
                          <a:srcRect/>
                          <a:stretch>
                            <a:fillRect/>
                          </a:stretch>
                        </pic:blipFill>
                        <pic:spPr>
                          <a:xfrm>
                            <a:off x="0" y="0"/>
                            <a:ext cx="304800" cy="1809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时，可近似认为声源退化为一个点源，计算公式为：</w:t>
            </w:r>
          </w:p>
          <w:p>
            <w:pPr>
              <w:adjustRightInd w:val="0"/>
              <w:snapToGrid w:val="0"/>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drawing>
                <wp:inline distT="0" distB="0" distL="0" distR="0">
                  <wp:extent cx="1506855" cy="2381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email"/>
                          <a:srcRect/>
                          <a:stretch>
                            <a:fillRect/>
                          </a:stretch>
                        </pic:blipFill>
                        <pic:spPr>
                          <a:xfrm>
                            <a:off x="0" y="0"/>
                            <a:ext cx="1587709" cy="250812"/>
                          </a:xfrm>
                          <a:prstGeom prst="rect">
                            <a:avLst/>
                          </a:prstGeom>
                          <a:noFill/>
                          <a:ln>
                            <a:noFill/>
                          </a:ln>
                        </pic:spPr>
                      </pic:pic>
                    </a:graphicData>
                  </a:graphic>
                </wp:inline>
              </w:drawing>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sz w:val="24"/>
                <w:szCs w:val="20"/>
                <w14:textFill>
                  <w14:solidFill>
                    <w14:schemeClr w14:val="tx1"/>
                  </w14:solidFill>
                </w14:textFill>
              </w:rPr>
              <w:drawing>
                <wp:inline distT="0" distB="0" distL="0" distR="0">
                  <wp:extent cx="180975" cy="219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cstate="email"/>
                          <a:srcRect/>
                          <a:stretch>
                            <a:fillRect/>
                          </a:stretch>
                        </pic:blipFill>
                        <pic:spPr>
                          <a:xfrm>
                            <a:off x="0" y="0"/>
                            <a:ext cx="180975" cy="2190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—距噪声源距离为</w:t>
            </w:r>
            <w:r>
              <w:rPr>
                <w:color w:val="000000" w:themeColor="text1"/>
                <w:kern w:val="0"/>
                <w:sz w:val="24"/>
                <w:szCs w:val="20"/>
                <w14:textFill>
                  <w14:solidFill>
                    <w14:schemeClr w14:val="tx1"/>
                  </w14:solidFill>
                </w14:textFill>
              </w:rPr>
              <w:drawing>
                <wp:inline distT="0" distB="0" distL="0" distR="0">
                  <wp:extent cx="114300" cy="1428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处声级值，[dB(A)]；</w:t>
            </w:r>
          </w:p>
          <w:p>
            <w:pPr>
              <w:adjustRightInd w:val="0"/>
              <w:snapToGrid w:val="0"/>
              <w:spacing w:line="460" w:lineRule="exact"/>
              <w:ind w:firstLine="1200" w:firstLineChars="5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80975" cy="2286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cstate="email"/>
                          <a:srcRect/>
                          <a:stretch>
                            <a:fillRect/>
                          </a:stretch>
                        </pic:blipFill>
                        <pic:spPr>
                          <a:xfrm>
                            <a:off x="0" y="0"/>
                            <a:ext cx="180975" cy="22860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—距噪声源距离为</w:t>
            </w:r>
            <w:r>
              <w:rPr>
                <w:color w:val="000000" w:themeColor="text1"/>
                <w:kern w:val="0"/>
                <w:sz w:val="24"/>
                <w:szCs w:val="20"/>
                <w14:textFill>
                  <w14:solidFill>
                    <w14:schemeClr w14:val="tx1"/>
                  </w14:solidFill>
                </w14:textFill>
              </w:rPr>
              <w:drawing>
                <wp:inline distT="0" distB="0" distL="0" distR="0">
                  <wp:extent cx="142875" cy="2286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cstate="email"/>
                          <a:srcRect/>
                          <a:stretch>
                            <a:fillRect/>
                          </a:stretch>
                        </pic:blipFill>
                        <pic:spPr>
                          <a:xfrm>
                            <a:off x="0" y="0"/>
                            <a:ext cx="142875" cy="22860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处声级值，[dB(A)]；</w:t>
            </w:r>
          </w:p>
          <w:p>
            <w:pPr>
              <w:adjustRightInd w:val="0"/>
              <w:snapToGrid w:val="0"/>
              <w:spacing w:line="460" w:lineRule="exact"/>
              <w:ind w:firstLine="1200" w:firstLineChars="5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14300" cy="1428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cstate="email"/>
                          <a:srcRect/>
                          <a:stretch>
                            <a:fillRect/>
                          </a:stretch>
                        </pic:blipFill>
                        <pic:spPr>
                          <a:xfrm>
                            <a:off x="0" y="0"/>
                            <a:ext cx="114300"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—关心点距噪声源距离，m；</w:t>
            </w:r>
          </w:p>
          <w:p>
            <w:pPr>
              <w:adjustRightInd w:val="0"/>
              <w:snapToGrid w:val="0"/>
              <w:spacing w:line="460" w:lineRule="exact"/>
              <w:ind w:firstLine="1200" w:firstLineChars="5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42875" cy="228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email"/>
                          <a:srcRect/>
                          <a:stretch>
                            <a:fillRect/>
                          </a:stretch>
                        </pic:blipFill>
                        <pic:spPr>
                          <a:xfrm>
                            <a:off x="0" y="0"/>
                            <a:ext cx="142875" cy="22860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—距噪声源距离，</w:t>
            </w:r>
            <w:r>
              <w:rPr>
                <w:color w:val="000000" w:themeColor="text1"/>
                <w:kern w:val="0"/>
                <w:sz w:val="24"/>
                <w:szCs w:val="20"/>
                <w14:textFill>
                  <w14:solidFill>
                    <w14:schemeClr w14:val="tx1"/>
                  </w14:solidFill>
                </w14:textFill>
              </w:rPr>
              <w:drawing>
                <wp:inline distT="0" distB="0" distL="0" distR="0">
                  <wp:extent cx="142875" cy="2286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cstate="email"/>
                          <a:srcRect/>
                          <a:stretch>
                            <a:fillRect/>
                          </a:stretch>
                        </pic:blipFill>
                        <pic:spPr>
                          <a:xfrm>
                            <a:off x="0" y="0"/>
                            <a:ext cx="142875" cy="22860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取1m。</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预测时，根据判定结果，取合适公式进行预测。</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②</w:t>
            </w:r>
            <w:r>
              <w:rPr>
                <w:color w:val="000000" w:themeColor="text1"/>
                <w:kern w:val="0"/>
                <w:sz w:val="24"/>
                <w:szCs w:val="20"/>
                <w14:textFill>
                  <w14:solidFill>
                    <w14:schemeClr w14:val="tx1"/>
                  </w14:solidFill>
                </w14:textFill>
              </w:rPr>
              <w:t>室内声源等效室外声源声功率计算</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adjustRightInd w:val="0"/>
              <w:snapToGrid w:val="0"/>
              <w:spacing w:line="460" w:lineRule="exact"/>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Lp2=Lp1-(TL+6)</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式中:TL一隔墙(或窗户)倍频带的隔声量，dB。</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③</w:t>
            </w:r>
            <w:r>
              <w:rPr>
                <w:color w:val="000000" w:themeColor="text1"/>
                <w:kern w:val="0"/>
                <w:sz w:val="24"/>
                <w:szCs w:val="20"/>
                <w14:textFill>
                  <w14:solidFill>
                    <w14:schemeClr w14:val="tx1"/>
                  </w14:solidFill>
                </w14:textFill>
              </w:rPr>
              <w:t>噪声源叠加影响分析方法</w:t>
            </w:r>
          </w:p>
          <w:p>
            <w:pPr>
              <w:adjustRightInd w:val="0"/>
              <w:snapToGrid w:val="0"/>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drawing>
                <wp:inline distT="0" distB="0" distL="0" distR="0">
                  <wp:extent cx="1314450" cy="478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email"/>
                          <a:srcRect/>
                          <a:stretch>
                            <a:fillRect/>
                          </a:stretch>
                        </pic:blipFill>
                        <pic:spPr>
                          <a:xfrm>
                            <a:off x="0" y="0"/>
                            <a:ext cx="1372344" cy="499215"/>
                          </a:xfrm>
                          <a:prstGeom prst="rect">
                            <a:avLst/>
                          </a:prstGeom>
                          <a:noFill/>
                          <a:ln>
                            <a:noFill/>
                          </a:ln>
                        </pic:spPr>
                      </pic:pic>
                    </a:graphicData>
                  </a:graphic>
                </wp:inline>
              </w:drawing>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sz w:val="24"/>
                <w:szCs w:val="20"/>
                <w14:textFill>
                  <w14:solidFill>
                    <w14:schemeClr w14:val="tx1"/>
                  </w14:solidFill>
                </w14:textFill>
              </w:rPr>
              <w:drawing>
                <wp:inline distT="0" distB="0" distL="0" distR="0">
                  <wp:extent cx="142875" cy="171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cstate="email"/>
                          <a:srcRect/>
                          <a:stretch>
                            <a:fillRect/>
                          </a:stretch>
                        </pic:blipFill>
                        <pic:spPr>
                          <a:xfrm>
                            <a:off x="0" y="0"/>
                            <a:ext cx="142875" cy="17145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—总声压级，[dB(A)]；</w:t>
            </w:r>
          </w:p>
          <w:p>
            <w:pPr>
              <w:adjustRightInd w:val="0"/>
              <w:snapToGrid w:val="0"/>
              <w:spacing w:line="460" w:lineRule="exact"/>
              <w:ind w:firstLine="1200" w:firstLineChars="5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7145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cstate="email"/>
                          <a:srcRect/>
                          <a:stretch>
                            <a:fillRect/>
                          </a:stretch>
                        </pic:blipFill>
                        <pic:spPr>
                          <a:xfrm>
                            <a:off x="0" y="0"/>
                            <a:ext cx="171450" cy="22860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—第</w:t>
            </w:r>
            <w:r>
              <w:rPr>
                <w:color w:val="000000" w:themeColor="text1"/>
                <w:kern w:val="0"/>
                <w:sz w:val="24"/>
                <w:szCs w:val="20"/>
                <w14:textFill>
                  <w14:solidFill>
                    <w14:schemeClr w14:val="tx1"/>
                  </w14:solidFill>
                </w14:textFill>
              </w:rPr>
              <w:drawing>
                <wp:inline distT="0" distB="0" distL="0" distR="0">
                  <wp:extent cx="95250" cy="171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cstate="email"/>
                          <a:srcRect/>
                          <a:stretch>
                            <a:fillRect/>
                          </a:stretch>
                        </pic:blipFill>
                        <pic:spPr>
                          <a:xfrm>
                            <a:off x="0" y="0"/>
                            <a:ext cx="95250" cy="171450"/>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个声源的声压级，[dB(A)]；</w:t>
            </w:r>
          </w:p>
          <w:p>
            <w:pPr>
              <w:adjustRightInd w:val="0"/>
              <w:snapToGrid w:val="0"/>
              <w:spacing w:line="460" w:lineRule="exact"/>
              <w:ind w:firstLine="1200" w:firstLineChars="5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42875" cy="1428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7" cstate="email"/>
                          <a:srcRect/>
                          <a:stretch>
                            <a:fillRect/>
                          </a:stretch>
                        </pic:blipFill>
                        <pic:spPr>
                          <a:xfrm>
                            <a:off x="0" y="0"/>
                            <a:ext cx="142875" cy="14287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t>—声源数量。</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④</w:t>
            </w:r>
            <w:r>
              <w:rPr>
                <w:color w:val="000000" w:themeColor="text1"/>
                <w:kern w:val="0"/>
                <w:sz w:val="24"/>
                <w:szCs w:val="20"/>
                <w14:textFill>
                  <w14:solidFill>
                    <w14:schemeClr w14:val="tx1"/>
                  </w14:solidFill>
                </w14:textFill>
              </w:rPr>
              <w:t>户外声传播衰减计算公式</w:t>
            </w:r>
          </w:p>
          <w:p>
            <w:pPr>
              <w:adjustRightInd w:val="0"/>
              <w:snapToGrid w:val="0"/>
              <w:spacing w:line="460" w:lineRule="exact"/>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L( r )=L ref (r0)-(Adiv+Abar+Aatm+A exe)</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式中：A</w:t>
            </w:r>
            <w:r>
              <w:rPr>
                <w:color w:val="000000" w:themeColor="text1"/>
                <w:kern w:val="0"/>
                <w:sz w:val="24"/>
                <w:szCs w:val="20"/>
                <w:vertAlign w:val="subscript"/>
                <w14:textFill>
                  <w14:solidFill>
                    <w14:schemeClr w14:val="tx1"/>
                  </w14:solidFill>
                </w14:textFill>
              </w:rPr>
              <w:t xml:space="preserve"> div</w:t>
            </w:r>
            <w:r>
              <w:rPr>
                <w:color w:val="000000" w:themeColor="text1"/>
                <w:kern w:val="0"/>
                <w:sz w:val="24"/>
                <w:szCs w:val="20"/>
                <w:vertAlign w:val="subscript"/>
                <w14:textFill>
                  <w14:solidFill>
                    <w14:schemeClr w14:val="tx1"/>
                  </w14:solidFill>
                </w14:textFill>
              </w:rPr>
              <w:softHyphen/>
            </w:r>
            <w:r>
              <w:rPr>
                <w:color w:val="000000" w:themeColor="text1"/>
                <w:kern w:val="0"/>
                <w:sz w:val="24"/>
                <w:szCs w:val="20"/>
                <w14:textFill>
                  <w14:solidFill>
                    <w14:schemeClr w14:val="tx1"/>
                  </w14:solidFill>
                </w14:textFill>
              </w:rPr>
              <w:t>—几何发散；</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 xml:space="preserve">      A</w:t>
            </w:r>
            <w:r>
              <w:rPr>
                <w:color w:val="000000" w:themeColor="text1"/>
                <w:kern w:val="0"/>
                <w:sz w:val="24"/>
                <w:szCs w:val="20"/>
                <w:vertAlign w:val="subscript"/>
                <w14:textFill>
                  <w14:solidFill>
                    <w14:schemeClr w14:val="tx1"/>
                  </w14:solidFill>
                </w14:textFill>
              </w:rPr>
              <w:t xml:space="preserve">bar </w:t>
            </w:r>
            <w:r>
              <w:rPr>
                <w:color w:val="000000" w:themeColor="text1"/>
                <w:kern w:val="0"/>
                <w:sz w:val="24"/>
                <w:szCs w:val="20"/>
                <w:vertAlign w:val="subscript"/>
                <w14:textFill>
                  <w14:solidFill>
                    <w14:schemeClr w14:val="tx1"/>
                  </w14:solidFill>
                </w14:textFill>
              </w:rPr>
              <w:softHyphen/>
            </w:r>
            <w:r>
              <w:rPr>
                <w:color w:val="000000" w:themeColor="text1"/>
                <w:kern w:val="0"/>
                <w:sz w:val="24"/>
                <w:szCs w:val="20"/>
                <w14:textFill>
                  <w14:solidFill>
                    <w14:schemeClr w14:val="tx1"/>
                  </w14:solidFill>
                </w14:textFill>
              </w:rPr>
              <w:t>—遮挡物衰减；</w:t>
            </w:r>
          </w:p>
          <w:p>
            <w:pPr>
              <w:adjustRightInd w:val="0"/>
              <w:snapToGrid w:val="0"/>
              <w:spacing w:line="460" w:lineRule="exact"/>
              <w:ind w:firstLine="1156" w:firstLineChars="482"/>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A</w:t>
            </w:r>
            <w:r>
              <w:rPr>
                <w:color w:val="000000" w:themeColor="text1"/>
                <w:kern w:val="0"/>
                <w:sz w:val="24"/>
                <w:szCs w:val="20"/>
                <w:vertAlign w:val="subscript"/>
                <w14:textFill>
                  <w14:solidFill>
                    <w14:schemeClr w14:val="tx1"/>
                  </w14:solidFill>
                </w14:textFill>
              </w:rPr>
              <w:t>atm</w:t>
            </w:r>
            <w:r>
              <w:rPr>
                <w:color w:val="000000" w:themeColor="text1"/>
                <w:kern w:val="0"/>
                <w:sz w:val="24"/>
                <w:szCs w:val="20"/>
                <w14:textFill>
                  <w14:solidFill>
                    <w14:schemeClr w14:val="tx1"/>
                  </w14:solidFill>
                </w14:textFill>
              </w:rPr>
              <w:t>—大气吸收；</w:t>
            </w:r>
          </w:p>
          <w:p>
            <w:pPr>
              <w:adjustRightInd w:val="0"/>
              <w:snapToGrid w:val="0"/>
              <w:spacing w:line="46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 xml:space="preserve">      A</w:t>
            </w:r>
            <w:r>
              <w:rPr>
                <w:color w:val="000000" w:themeColor="text1"/>
                <w:kern w:val="0"/>
                <w:sz w:val="24"/>
                <w:szCs w:val="20"/>
                <w:vertAlign w:val="subscript"/>
                <w14:textFill>
                  <w14:solidFill>
                    <w14:schemeClr w14:val="tx1"/>
                  </w14:solidFill>
                </w14:textFill>
              </w:rPr>
              <w:t>exe</w:t>
            </w:r>
            <w:r>
              <w:rPr>
                <w:color w:val="000000" w:themeColor="text1"/>
                <w:kern w:val="0"/>
                <w:sz w:val="24"/>
                <w:szCs w:val="20"/>
                <w14:textFill>
                  <w14:solidFill>
                    <w14:schemeClr w14:val="tx1"/>
                  </w14:solidFill>
                </w14:textFill>
              </w:rPr>
              <w:t>—附加衰减；</w:t>
            </w:r>
          </w:p>
          <w:p>
            <w:pPr>
              <w:pStyle w:val="46"/>
              <w:adjustRightInd w:val="0"/>
              <w:snapToGrid w:val="0"/>
              <w:spacing w:line="460" w:lineRule="exact"/>
              <w:ind w:firstLine="482" w:firstLineChars="200"/>
              <w:rPr>
                <w:b/>
                <w:color w:val="000000" w:themeColor="text1"/>
                <w:sz w:val="24"/>
                <w:lang w:val="en-US"/>
                <w14:textFill>
                  <w14:solidFill>
                    <w14:schemeClr w14:val="tx1"/>
                  </w14:solidFill>
                </w14:textFill>
              </w:rPr>
            </w:pPr>
            <w:r>
              <w:rPr>
                <w:b/>
                <w:color w:val="000000" w:themeColor="text1"/>
                <w:sz w:val="24"/>
                <w:lang w:val="en-US"/>
                <w14:textFill>
                  <w14:solidFill>
                    <w14:schemeClr w14:val="tx1"/>
                  </w14:solidFill>
                </w14:textFill>
              </w:rPr>
              <w:t>3、</w:t>
            </w:r>
            <w:r>
              <w:rPr>
                <w:rFonts w:hint="eastAsia"/>
                <w:b/>
                <w:color w:val="000000" w:themeColor="text1"/>
                <w:sz w:val="24"/>
                <w:lang w:val="en-US"/>
                <w14:textFill>
                  <w14:solidFill>
                    <w14:schemeClr w14:val="tx1"/>
                  </w14:solidFill>
                </w14:textFill>
              </w:rPr>
              <w:t>厂界预测结果及评价</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噪声源在厂区的分布和源强，以及其与四周厂界的距离及建筑物的衰减状况，计算出各声源对四周厂界的噪声贡献值，结合背景值，对本工程完成后各厂界噪声值进行预测，各厂界噪声影响情况预测结果见下表。</w:t>
            </w:r>
          </w:p>
          <w:p>
            <w:pPr>
              <w:adjustRightInd w:val="0"/>
              <w:snapToGrid w:val="0"/>
              <w:spacing w:line="460" w:lineRule="exact"/>
              <w:ind w:firstLine="480" w:firstLineChars="200"/>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表37           四周厂界噪声贡献值叠加结果</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73"/>
              <w:gridCol w:w="1827"/>
              <w:gridCol w:w="1328"/>
              <w:gridCol w:w="1162"/>
              <w:gridCol w:w="1328"/>
              <w:gridCol w:w="132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预测点</w:t>
                  </w:r>
                </w:p>
              </w:tc>
              <w:tc>
                <w:tcPr>
                  <w:tcW w:w="1827" w:type="dxa"/>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主要噪声源</w:t>
                  </w:r>
                </w:p>
              </w:tc>
              <w:tc>
                <w:tcPr>
                  <w:tcW w:w="1328" w:type="dxa"/>
                  <w:vAlign w:val="center"/>
                </w:tcPr>
                <w:p>
                  <w:pPr>
                    <w:jc w:val="center"/>
                    <w:rPr>
                      <w:rFonts w:cs="宋体"/>
                      <w:b/>
                      <w:color w:val="000000" w:themeColor="text1"/>
                      <w:szCs w:val="21"/>
                      <w14:textFill>
                        <w14:solidFill>
                          <w14:schemeClr w14:val="tx1"/>
                        </w14:solidFill>
                      </w14:textFill>
                    </w:rPr>
                  </w:pPr>
                  <w:r>
                    <w:rPr>
                      <w:rFonts w:cs="宋体"/>
                      <w:b/>
                      <w:color w:val="000000" w:themeColor="text1"/>
                      <w:szCs w:val="21"/>
                      <w14:textFill>
                        <w14:solidFill>
                          <w14:schemeClr w14:val="tx1"/>
                        </w14:solidFill>
                      </w14:textFill>
                    </w:rPr>
                    <w:t>治理后噪声值dB(A)</w:t>
                  </w:r>
                </w:p>
              </w:tc>
              <w:tc>
                <w:tcPr>
                  <w:tcW w:w="1162" w:type="dxa"/>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距</w:t>
                  </w:r>
                  <w:r>
                    <w:rPr>
                      <w:rFonts w:cs="宋体"/>
                      <w:b/>
                      <w:color w:val="000000" w:themeColor="text1"/>
                      <w:szCs w:val="21"/>
                      <w14:textFill>
                        <w14:solidFill>
                          <w14:schemeClr w14:val="tx1"/>
                        </w14:solidFill>
                      </w14:textFill>
                    </w:rPr>
                    <w:t>厂界的距离m</w:t>
                  </w:r>
                </w:p>
              </w:tc>
              <w:tc>
                <w:tcPr>
                  <w:tcW w:w="1328" w:type="dxa"/>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贡献值</w:t>
                  </w:r>
                  <w:r>
                    <w:rPr>
                      <w:rFonts w:cs="宋体"/>
                      <w:b/>
                      <w:color w:val="000000" w:themeColor="text1"/>
                      <w:szCs w:val="21"/>
                      <w14:textFill>
                        <w14:solidFill>
                          <w14:schemeClr w14:val="tx1"/>
                        </w14:solidFill>
                      </w14:textFill>
                    </w:rPr>
                    <w:t>dB(A)</w:t>
                  </w:r>
                </w:p>
              </w:tc>
              <w:tc>
                <w:tcPr>
                  <w:tcW w:w="1328" w:type="dxa"/>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贡献叠加值</w:t>
                  </w:r>
                  <w:r>
                    <w:rPr>
                      <w:rFonts w:cs="宋体"/>
                      <w:b/>
                      <w:color w:val="000000" w:themeColor="text1"/>
                      <w:szCs w:val="21"/>
                      <w14:textFill>
                        <w14:solidFill>
                          <w14:schemeClr w14:val="tx1"/>
                        </w14:solidFill>
                      </w14:textFill>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东厂界</w:t>
                  </w:r>
                </w:p>
              </w:tc>
              <w:tc>
                <w:tcPr>
                  <w:tcW w:w="1827"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引风机</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9.0</w:t>
                  </w:r>
                </w:p>
              </w:tc>
              <w:tc>
                <w:tcPr>
                  <w:tcW w:w="1328"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泵类</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9.0</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6.7</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21.1</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南厂界</w:t>
                  </w: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引风机</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5.9</w:t>
                  </w:r>
                </w:p>
              </w:tc>
              <w:tc>
                <w:tcPr>
                  <w:tcW w:w="1328"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8.7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泵类</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5.4</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5.6</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西厂界</w:t>
                  </w:r>
                </w:p>
              </w:tc>
              <w:tc>
                <w:tcPr>
                  <w:tcW w:w="1827"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引风机</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50</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1.5</w:t>
                  </w:r>
                </w:p>
              </w:tc>
              <w:tc>
                <w:tcPr>
                  <w:tcW w:w="1328"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泵类</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50</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1.5</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6.1</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北厂界</w:t>
                  </w: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引风机</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51</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1.4</w:t>
                  </w:r>
                </w:p>
              </w:tc>
              <w:tc>
                <w:tcPr>
                  <w:tcW w:w="1328" w:type="dxa"/>
                  <w:vMerge w:val="restart"/>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泵类</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50.5</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1.4</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3"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c>
                <w:tcPr>
                  <w:tcW w:w="1827" w:type="dxa"/>
                  <w:vAlign w:val="center"/>
                </w:tcPr>
                <w:p>
                  <w:pPr>
                    <w:contextualSpacing/>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2.8</w:t>
                  </w:r>
                </w:p>
              </w:tc>
              <w:tc>
                <w:tcPr>
                  <w:tcW w:w="1162"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5</w:t>
                  </w:r>
                </w:p>
              </w:tc>
              <w:tc>
                <w:tcPr>
                  <w:tcW w:w="1328" w:type="dxa"/>
                  <w:vAlign w:val="center"/>
                </w:tcPr>
                <w:p>
                  <w:pPr>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328" w:type="dxa"/>
                  <w:vMerge w:val="continue"/>
                  <w:vAlign w:val="center"/>
                </w:tcPr>
                <w:p>
                  <w:pPr>
                    <w:contextualSpacing/>
                    <w:jc w:val="center"/>
                    <w:textAlignment w:val="baseline"/>
                    <w:rPr>
                      <w:color w:val="000000" w:themeColor="text1"/>
                      <w:kern w:val="0"/>
                      <w:szCs w:val="21"/>
                      <w14:textFill>
                        <w14:solidFill>
                          <w14:schemeClr w14:val="tx1"/>
                        </w14:solidFill>
                      </w14:textFill>
                    </w:rPr>
                  </w:pPr>
                </w:p>
              </w:tc>
            </w:tr>
          </w:tbl>
          <w:p>
            <w:pPr>
              <w:adjustRightInd w:val="0"/>
              <w:snapToGrid w:val="0"/>
              <w:spacing w:line="460" w:lineRule="exact"/>
              <w:ind w:firstLine="480" w:firstLineChars="200"/>
              <w:rPr>
                <w:rFonts w:ascii="宋体" w:hAnsi="宋体" w:cs="宋体"/>
                <w:sz w:val="24"/>
              </w:rPr>
            </w:pPr>
            <w:r>
              <w:rPr>
                <w:rFonts w:hint="eastAsia" w:ascii="宋体" w:hAnsi="宋体" w:cs="宋体"/>
                <w:sz w:val="24"/>
              </w:rPr>
              <w:t>本项目噪声贡献值与在建项目噪声贡献值叠加后，厂区四周噪声预测值见下表。</w:t>
            </w:r>
          </w:p>
          <w:p>
            <w:pPr>
              <w:adjustRightInd w:val="0"/>
              <w:snapToGrid w:val="0"/>
              <w:spacing w:line="460" w:lineRule="exact"/>
              <w:ind w:firstLine="480" w:firstLineChars="200"/>
              <w:rPr>
                <w:rFonts w:ascii="宋体" w:hAnsi="宋体" w:cs="宋体"/>
                <w:bCs/>
                <w:spacing w:val="-10"/>
                <w:szCs w:val="21"/>
              </w:rPr>
            </w:pPr>
            <w:r>
              <w:rPr>
                <w:rFonts w:eastAsia="黑体"/>
                <w:sz w:val="24"/>
              </w:rPr>
              <w:t>表</w:t>
            </w:r>
            <w:r>
              <w:rPr>
                <w:rFonts w:hint="eastAsia" w:eastAsia="黑体"/>
                <w:sz w:val="24"/>
              </w:rPr>
              <w:t>3</w:t>
            </w:r>
            <w:r>
              <w:rPr>
                <w:rFonts w:eastAsia="黑体"/>
                <w:sz w:val="24"/>
              </w:rPr>
              <w:t xml:space="preserve">8           </w:t>
            </w:r>
            <w:r>
              <w:rPr>
                <w:rFonts w:hint="eastAsia" w:eastAsia="黑体"/>
                <w:sz w:val="24"/>
              </w:rPr>
              <w:t xml:space="preserve"> </w:t>
            </w:r>
            <w:r>
              <w:rPr>
                <w:rFonts w:eastAsia="黑体"/>
                <w:sz w:val="24"/>
              </w:rPr>
              <w:t xml:space="preserve"> 噪声预测值结果一览表             单位：dB(A）</w:t>
            </w:r>
          </w:p>
          <w:tbl>
            <w:tblPr>
              <w:tblStyle w:val="1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53"/>
              <w:gridCol w:w="1157"/>
              <w:gridCol w:w="1158"/>
              <w:gridCol w:w="1323"/>
              <w:gridCol w:w="1157"/>
              <w:gridCol w:w="129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53" w:type="dxa"/>
                  <w:tcBorders>
                    <w:top w:val="single" w:color="auto" w:sz="8" w:space="0"/>
                    <w:left w:val="nil"/>
                  </w:tcBorders>
                  <w:noWrap/>
                  <w:vAlign w:val="center"/>
                </w:tcPr>
                <w:p>
                  <w:pPr>
                    <w:widowControl/>
                    <w:snapToGrid w:val="0"/>
                    <w:jc w:val="center"/>
                    <w:rPr>
                      <w:b/>
                      <w:bCs/>
                      <w:kern w:val="0"/>
                      <w:szCs w:val="21"/>
                    </w:rPr>
                  </w:pPr>
                  <w:r>
                    <w:rPr>
                      <w:b/>
                      <w:bCs/>
                      <w:kern w:val="0"/>
                      <w:szCs w:val="21"/>
                    </w:rPr>
                    <w:t>预测点</w:t>
                  </w:r>
                </w:p>
              </w:tc>
              <w:tc>
                <w:tcPr>
                  <w:tcW w:w="1157" w:type="dxa"/>
                  <w:tcBorders>
                    <w:top w:val="single" w:color="auto" w:sz="8" w:space="0"/>
                    <w:left w:val="single" w:color="auto" w:sz="4" w:space="0"/>
                    <w:right w:val="single" w:color="auto" w:sz="4" w:space="0"/>
                  </w:tcBorders>
                  <w:noWrap/>
                  <w:vAlign w:val="center"/>
                </w:tcPr>
                <w:p>
                  <w:pPr>
                    <w:widowControl/>
                    <w:snapToGrid w:val="0"/>
                    <w:jc w:val="center"/>
                    <w:rPr>
                      <w:b/>
                      <w:bCs/>
                      <w:kern w:val="0"/>
                      <w:szCs w:val="21"/>
                    </w:rPr>
                  </w:pPr>
                  <w:r>
                    <w:rPr>
                      <w:b/>
                      <w:bCs/>
                      <w:kern w:val="0"/>
                      <w:szCs w:val="21"/>
                    </w:rPr>
                    <w:t>东厂界</w:t>
                  </w:r>
                </w:p>
              </w:tc>
              <w:tc>
                <w:tcPr>
                  <w:tcW w:w="1158" w:type="dxa"/>
                  <w:tcBorders>
                    <w:top w:val="single" w:color="auto" w:sz="8" w:space="0"/>
                    <w:left w:val="single" w:color="auto" w:sz="4" w:space="0"/>
                    <w:right w:val="single" w:color="auto" w:sz="4" w:space="0"/>
                  </w:tcBorders>
                  <w:noWrap/>
                  <w:vAlign w:val="center"/>
                </w:tcPr>
                <w:p>
                  <w:pPr>
                    <w:widowControl/>
                    <w:snapToGrid w:val="0"/>
                    <w:jc w:val="center"/>
                    <w:rPr>
                      <w:b/>
                      <w:kern w:val="0"/>
                      <w:szCs w:val="21"/>
                    </w:rPr>
                  </w:pPr>
                  <w:r>
                    <w:rPr>
                      <w:b/>
                      <w:kern w:val="0"/>
                      <w:szCs w:val="21"/>
                    </w:rPr>
                    <w:t>南厂界</w:t>
                  </w:r>
                </w:p>
              </w:tc>
              <w:tc>
                <w:tcPr>
                  <w:tcW w:w="1323" w:type="dxa"/>
                  <w:tcBorders>
                    <w:top w:val="single" w:color="auto" w:sz="8" w:space="0"/>
                    <w:left w:val="single" w:color="auto" w:sz="4" w:space="0"/>
                    <w:right w:val="single" w:color="auto" w:sz="4" w:space="0"/>
                  </w:tcBorders>
                  <w:noWrap/>
                  <w:vAlign w:val="center"/>
                </w:tcPr>
                <w:p>
                  <w:pPr>
                    <w:widowControl/>
                    <w:snapToGrid w:val="0"/>
                    <w:jc w:val="center"/>
                    <w:rPr>
                      <w:b/>
                      <w:kern w:val="0"/>
                      <w:szCs w:val="21"/>
                    </w:rPr>
                  </w:pPr>
                  <w:r>
                    <w:rPr>
                      <w:b/>
                      <w:kern w:val="0"/>
                      <w:szCs w:val="21"/>
                    </w:rPr>
                    <w:t>西厂界</w:t>
                  </w:r>
                </w:p>
              </w:tc>
              <w:tc>
                <w:tcPr>
                  <w:tcW w:w="1157" w:type="dxa"/>
                  <w:tcBorders>
                    <w:top w:val="single" w:color="auto" w:sz="8" w:space="0"/>
                    <w:left w:val="single" w:color="auto" w:sz="4" w:space="0"/>
                    <w:right w:val="single" w:color="auto" w:sz="4" w:space="0"/>
                  </w:tcBorders>
                  <w:noWrap/>
                  <w:vAlign w:val="center"/>
                </w:tcPr>
                <w:p>
                  <w:pPr>
                    <w:widowControl/>
                    <w:snapToGrid w:val="0"/>
                    <w:jc w:val="center"/>
                    <w:rPr>
                      <w:b/>
                      <w:kern w:val="0"/>
                      <w:szCs w:val="21"/>
                    </w:rPr>
                  </w:pPr>
                  <w:r>
                    <w:rPr>
                      <w:b/>
                      <w:kern w:val="0"/>
                      <w:szCs w:val="21"/>
                    </w:rPr>
                    <w:t>北厂界</w:t>
                  </w:r>
                </w:p>
              </w:tc>
              <w:tc>
                <w:tcPr>
                  <w:tcW w:w="1298" w:type="dxa"/>
                  <w:tcBorders>
                    <w:top w:val="single" w:color="auto" w:sz="8" w:space="0"/>
                    <w:left w:val="single" w:color="auto" w:sz="4" w:space="0"/>
                    <w:right w:val="nil"/>
                  </w:tcBorders>
                  <w:noWrap/>
                  <w:vAlign w:val="center"/>
                </w:tcPr>
                <w:p>
                  <w:pPr>
                    <w:widowControl/>
                    <w:snapToGrid w:val="0"/>
                    <w:jc w:val="center"/>
                    <w:rPr>
                      <w:rFonts w:eastAsia="Times New Roman"/>
                      <w:b/>
                      <w:bCs/>
                      <w:kern w:val="0"/>
                      <w:szCs w:val="21"/>
                    </w:rPr>
                  </w:pPr>
                  <w:r>
                    <w:rPr>
                      <w:b/>
                      <w:bCs/>
                      <w:kern w:val="0"/>
                      <w:szCs w:val="21"/>
                    </w:rPr>
                    <w:t>标准值</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53" w:type="dxa"/>
                  <w:tcBorders>
                    <w:left w:val="nil"/>
                  </w:tcBorders>
                  <w:noWrap/>
                  <w:vAlign w:val="center"/>
                </w:tcPr>
                <w:p>
                  <w:pPr>
                    <w:widowControl/>
                    <w:snapToGrid w:val="0"/>
                    <w:jc w:val="center"/>
                    <w:rPr>
                      <w:rFonts w:eastAsia="Times New Roman"/>
                      <w:kern w:val="0"/>
                      <w:szCs w:val="21"/>
                    </w:rPr>
                  </w:pPr>
                  <w:r>
                    <w:rPr>
                      <w:rFonts w:hint="eastAsia"/>
                      <w:kern w:val="0"/>
                      <w:szCs w:val="21"/>
                    </w:rPr>
                    <w:t>本项目</w:t>
                  </w:r>
                  <w:r>
                    <w:rPr>
                      <w:kern w:val="0"/>
                      <w:szCs w:val="21"/>
                    </w:rPr>
                    <w:t>贡献值</w:t>
                  </w:r>
                </w:p>
              </w:tc>
              <w:tc>
                <w:tcPr>
                  <w:tcW w:w="1157" w:type="dxa"/>
                  <w:tcBorders>
                    <w:left w:val="single" w:color="auto" w:sz="4" w:space="0"/>
                    <w:right w:val="single" w:color="auto" w:sz="4" w:space="0"/>
                  </w:tcBorders>
                  <w:noWrap/>
                  <w:vAlign w:val="center"/>
                </w:tcPr>
                <w:p>
                  <w:pPr>
                    <w:snapToGrid w:val="0"/>
                    <w:jc w:val="center"/>
                    <w:rPr>
                      <w:kern w:val="0"/>
                      <w:szCs w:val="21"/>
                    </w:rPr>
                  </w:pPr>
                  <w:r>
                    <w:rPr>
                      <w:color w:val="000000"/>
                      <w:szCs w:val="21"/>
                    </w:rPr>
                    <w:t>32.4</w:t>
                  </w:r>
                </w:p>
              </w:tc>
              <w:tc>
                <w:tcPr>
                  <w:tcW w:w="1158" w:type="dxa"/>
                  <w:tcBorders>
                    <w:left w:val="single" w:color="auto" w:sz="4" w:space="0"/>
                    <w:right w:val="single" w:color="auto" w:sz="4" w:space="0"/>
                  </w:tcBorders>
                  <w:noWrap/>
                  <w:vAlign w:val="center"/>
                </w:tcPr>
                <w:p>
                  <w:pPr>
                    <w:snapToGrid w:val="0"/>
                    <w:jc w:val="center"/>
                    <w:rPr>
                      <w:kern w:val="0"/>
                      <w:szCs w:val="21"/>
                    </w:rPr>
                  </w:pPr>
                  <w:r>
                    <w:rPr>
                      <w:color w:val="000000"/>
                      <w:szCs w:val="21"/>
                    </w:rPr>
                    <w:t>38.7</w:t>
                  </w:r>
                </w:p>
              </w:tc>
              <w:tc>
                <w:tcPr>
                  <w:tcW w:w="1323" w:type="dxa"/>
                  <w:tcBorders>
                    <w:left w:val="single" w:color="auto" w:sz="4" w:space="0"/>
                    <w:right w:val="single" w:color="auto" w:sz="4" w:space="0"/>
                  </w:tcBorders>
                  <w:noWrap/>
                  <w:vAlign w:val="center"/>
                </w:tcPr>
                <w:p>
                  <w:pPr>
                    <w:snapToGrid w:val="0"/>
                    <w:jc w:val="center"/>
                    <w:rPr>
                      <w:kern w:val="0"/>
                      <w:szCs w:val="21"/>
                    </w:rPr>
                  </w:pPr>
                  <w:r>
                    <w:rPr>
                      <w:color w:val="000000"/>
                      <w:szCs w:val="21"/>
                    </w:rPr>
                    <w:t>14.5</w:t>
                  </w:r>
                </w:p>
              </w:tc>
              <w:tc>
                <w:tcPr>
                  <w:tcW w:w="1157" w:type="dxa"/>
                  <w:tcBorders>
                    <w:left w:val="single" w:color="auto" w:sz="4" w:space="0"/>
                    <w:right w:val="single" w:color="auto" w:sz="4" w:space="0"/>
                  </w:tcBorders>
                  <w:noWrap/>
                  <w:vAlign w:val="center"/>
                </w:tcPr>
                <w:p>
                  <w:pPr>
                    <w:snapToGrid w:val="0"/>
                    <w:jc w:val="center"/>
                    <w:rPr>
                      <w:kern w:val="0"/>
                      <w:szCs w:val="21"/>
                    </w:rPr>
                  </w:pPr>
                  <w:r>
                    <w:rPr>
                      <w:color w:val="000000"/>
                      <w:szCs w:val="21"/>
                    </w:rPr>
                    <w:t>14.4</w:t>
                  </w:r>
                </w:p>
              </w:tc>
              <w:tc>
                <w:tcPr>
                  <w:tcW w:w="1298" w:type="dxa"/>
                  <w:vMerge w:val="restart"/>
                  <w:tcBorders>
                    <w:left w:val="single" w:color="auto" w:sz="4" w:space="0"/>
                    <w:right w:val="nil"/>
                  </w:tcBorders>
                  <w:noWrap/>
                  <w:vAlign w:val="center"/>
                </w:tcPr>
                <w:p>
                  <w:pPr>
                    <w:jc w:val="center"/>
                    <w:rPr>
                      <w:color w:val="000000"/>
                      <w:szCs w:val="21"/>
                    </w:rPr>
                  </w:pPr>
                  <w:r>
                    <w:rPr>
                      <w:color w:val="000000"/>
                      <w:szCs w:val="21"/>
                    </w:rPr>
                    <w:t>昼间</w:t>
                  </w:r>
                </w:p>
                <w:p>
                  <w:pPr>
                    <w:widowControl/>
                    <w:snapToGrid w:val="0"/>
                    <w:jc w:val="center"/>
                    <w:rPr>
                      <w:kern w:val="0"/>
                      <w:szCs w:val="21"/>
                    </w:rPr>
                  </w:pPr>
                  <w:r>
                    <w:rPr>
                      <w:color w:val="000000"/>
                      <w:szCs w:val="21"/>
                    </w:rPr>
                    <w:t>65dB(A)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53" w:type="dxa"/>
                  <w:tcBorders>
                    <w:left w:val="nil"/>
                  </w:tcBorders>
                  <w:noWrap/>
                  <w:vAlign w:val="center"/>
                </w:tcPr>
                <w:p>
                  <w:pPr>
                    <w:widowControl/>
                    <w:snapToGrid w:val="0"/>
                    <w:jc w:val="center"/>
                    <w:rPr>
                      <w:kern w:val="0"/>
                      <w:szCs w:val="21"/>
                    </w:rPr>
                  </w:pPr>
                  <w:r>
                    <w:rPr>
                      <w:rFonts w:hint="eastAsia"/>
                      <w:kern w:val="0"/>
                      <w:szCs w:val="21"/>
                    </w:rPr>
                    <w:t>在建项目贡献值</w:t>
                  </w:r>
                </w:p>
              </w:tc>
              <w:tc>
                <w:tcPr>
                  <w:tcW w:w="1157" w:type="dxa"/>
                  <w:tcBorders>
                    <w:left w:val="single" w:color="auto" w:sz="4" w:space="0"/>
                    <w:right w:val="single" w:color="auto" w:sz="4" w:space="0"/>
                  </w:tcBorders>
                  <w:noWrap/>
                  <w:vAlign w:val="center"/>
                </w:tcPr>
                <w:p>
                  <w:pPr>
                    <w:snapToGrid w:val="0"/>
                    <w:jc w:val="center"/>
                    <w:rPr>
                      <w:kern w:val="0"/>
                      <w:szCs w:val="21"/>
                    </w:rPr>
                  </w:pPr>
                  <w:r>
                    <w:rPr>
                      <w:szCs w:val="21"/>
                    </w:rPr>
                    <w:t>47.42</w:t>
                  </w:r>
                </w:p>
              </w:tc>
              <w:tc>
                <w:tcPr>
                  <w:tcW w:w="1158" w:type="dxa"/>
                  <w:tcBorders>
                    <w:left w:val="single" w:color="auto" w:sz="4" w:space="0"/>
                    <w:right w:val="single" w:color="auto" w:sz="4" w:space="0"/>
                  </w:tcBorders>
                  <w:noWrap/>
                  <w:vAlign w:val="center"/>
                </w:tcPr>
                <w:p>
                  <w:pPr>
                    <w:snapToGrid w:val="0"/>
                    <w:jc w:val="center"/>
                    <w:rPr>
                      <w:kern w:val="0"/>
                      <w:szCs w:val="21"/>
                    </w:rPr>
                  </w:pPr>
                  <w:r>
                    <w:rPr>
                      <w:szCs w:val="21"/>
                    </w:rPr>
                    <w:t>41.08</w:t>
                  </w:r>
                </w:p>
              </w:tc>
              <w:tc>
                <w:tcPr>
                  <w:tcW w:w="1323" w:type="dxa"/>
                  <w:tcBorders>
                    <w:left w:val="single" w:color="auto" w:sz="4" w:space="0"/>
                    <w:right w:val="single" w:color="auto" w:sz="4" w:space="0"/>
                  </w:tcBorders>
                  <w:noWrap/>
                  <w:vAlign w:val="center"/>
                </w:tcPr>
                <w:p>
                  <w:pPr>
                    <w:snapToGrid w:val="0"/>
                    <w:jc w:val="center"/>
                    <w:rPr>
                      <w:kern w:val="0"/>
                      <w:szCs w:val="21"/>
                    </w:rPr>
                  </w:pPr>
                  <w:r>
                    <w:rPr>
                      <w:szCs w:val="21"/>
                    </w:rPr>
                    <w:t>29.87</w:t>
                  </w:r>
                </w:p>
              </w:tc>
              <w:tc>
                <w:tcPr>
                  <w:tcW w:w="1157" w:type="dxa"/>
                  <w:tcBorders>
                    <w:left w:val="single" w:color="auto" w:sz="4" w:space="0"/>
                    <w:right w:val="single" w:color="auto" w:sz="4" w:space="0"/>
                  </w:tcBorders>
                  <w:noWrap/>
                  <w:vAlign w:val="center"/>
                </w:tcPr>
                <w:p>
                  <w:pPr>
                    <w:snapToGrid w:val="0"/>
                    <w:jc w:val="center"/>
                    <w:rPr>
                      <w:kern w:val="0"/>
                      <w:szCs w:val="21"/>
                    </w:rPr>
                  </w:pPr>
                  <w:r>
                    <w:rPr>
                      <w:szCs w:val="21"/>
                    </w:rPr>
                    <w:t>32.97</w:t>
                  </w:r>
                </w:p>
              </w:tc>
              <w:tc>
                <w:tcPr>
                  <w:tcW w:w="1298" w:type="dxa"/>
                  <w:vMerge w:val="continue"/>
                  <w:tcBorders>
                    <w:left w:val="single" w:color="auto" w:sz="4" w:space="0"/>
                    <w:right w:val="nil"/>
                  </w:tcBorders>
                  <w:noWrap/>
                  <w:vAlign w:val="center"/>
                </w:tcPr>
                <w:p>
                  <w:pPr>
                    <w:widowControl/>
                    <w:snapToGrid w:val="0"/>
                    <w:jc w:val="center"/>
                    <w:rPr>
                      <w:rFonts w:eastAsia="Times New Roman"/>
                      <w:kern w:val="0"/>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53" w:type="dxa"/>
                  <w:tcBorders>
                    <w:left w:val="nil"/>
                  </w:tcBorders>
                  <w:noWrap/>
                  <w:vAlign w:val="center"/>
                </w:tcPr>
                <w:p>
                  <w:pPr>
                    <w:widowControl/>
                    <w:snapToGrid w:val="0"/>
                    <w:jc w:val="center"/>
                    <w:rPr>
                      <w:rFonts w:eastAsia="Times New Roman"/>
                      <w:kern w:val="0"/>
                      <w:szCs w:val="21"/>
                    </w:rPr>
                  </w:pPr>
                  <w:r>
                    <w:rPr>
                      <w:kern w:val="0"/>
                      <w:szCs w:val="21"/>
                    </w:rPr>
                    <w:t>预测值</w:t>
                  </w:r>
                </w:p>
              </w:tc>
              <w:tc>
                <w:tcPr>
                  <w:tcW w:w="1157" w:type="dxa"/>
                  <w:tcBorders>
                    <w:left w:val="single" w:color="auto" w:sz="4" w:space="0"/>
                    <w:right w:val="single" w:color="auto" w:sz="4" w:space="0"/>
                  </w:tcBorders>
                  <w:noWrap/>
                  <w:vAlign w:val="center"/>
                </w:tcPr>
                <w:p>
                  <w:pPr>
                    <w:snapToGrid w:val="0"/>
                    <w:jc w:val="center"/>
                    <w:rPr>
                      <w:kern w:val="0"/>
                      <w:szCs w:val="21"/>
                    </w:rPr>
                  </w:pPr>
                  <w:r>
                    <w:rPr>
                      <w:kern w:val="0"/>
                      <w:szCs w:val="21"/>
                    </w:rPr>
                    <w:t>47.6</w:t>
                  </w:r>
                </w:p>
              </w:tc>
              <w:tc>
                <w:tcPr>
                  <w:tcW w:w="1158" w:type="dxa"/>
                  <w:tcBorders>
                    <w:left w:val="single" w:color="auto" w:sz="4" w:space="0"/>
                    <w:right w:val="single" w:color="auto" w:sz="4" w:space="0"/>
                  </w:tcBorders>
                  <w:noWrap/>
                  <w:vAlign w:val="center"/>
                </w:tcPr>
                <w:p>
                  <w:pPr>
                    <w:snapToGrid w:val="0"/>
                    <w:jc w:val="center"/>
                    <w:rPr>
                      <w:kern w:val="0"/>
                      <w:szCs w:val="21"/>
                    </w:rPr>
                  </w:pPr>
                  <w:r>
                    <w:rPr>
                      <w:rFonts w:hint="eastAsia"/>
                      <w:kern w:val="0"/>
                      <w:szCs w:val="21"/>
                    </w:rPr>
                    <w:t>4</w:t>
                  </w:r>
                  <w:r>
                    <w:rPr>
                      <w:kern w:val="0"/>
                      <w:szCs w:val="21"/>
                    </w:rPr>
                    <w:t>3.1</w:t>
                  </w:r>
                </w:p>
              </w:tc>
              <w:tc>
                <w:tcPr>
                  <w:tcW w:w="1323" w:type="dxa"/>
                  <w:tcBorders>
                    <w:left w:val="single" w:color="auto" w:sz="4" w:space="0"/>
                    <w:right w:val="single" w:color="auto" w:sz="4" w:space="0"/>
                  </w:tcBorders>
                  <w:noWrap/>
                  <w:vAlign w:val="center"/>
                </w:tcPr>
                <w:p>
                  <w:pPr>
                    <w:snapToGrid w:val="0"/>
                    <w:jc w:val="center"/>
                    <w:rPr>
                      <w:kern w:val="0"/>
                      <w:szCs w:val="21"/>
                    </w:rPr>
                  </w:pPr>
                  <w:r>
                    <w:rPr>
                      <w:kern w:val="0"/>
                      <w:szCs w:val="21"/>
                    </w:rPr>
                    <w:t>30.0</w:t>
                  </w:r>
                </w:p>
              </w:tc>
              <w:tc>
                <w:tcPr>
                  <w:tcW w:w="1157" w:type="dxa"/>
                  <w:tcBorders>
                    <w:left w:val="single" w:color="auto" w:sz="4" w:space="0"/>
                    <w:right w:val="single" w:color="auto" w:sz="4" w:space="0"/>
                  </w:tcBorders>
                  <w:noWrap/>
                  <w:vAlign w:val="center"/>
                </w:tcPr>
                <w:p>
                  <w:pPr>
                    <w:snapToGrid w:val="0"/>
                    <w:jc w:val="center"/>
                    <w:rPr>
                      <w:kern w:val="0"/>
                      <w:szCs w:val="21"/>
                    </w:rPr>
                  </w:pPr>
                  <w:r>
                    <w:rPr>
                      <w:kern w:val="0"/>
                      <w:szCs w:val="21"/>
                    </w:rPr>
                    <w:t>33.0</w:t>
                  </w:r>
                </w:p>
              </w:tc>
              <w:tc>
                <w:tcPr>
                  <w:tcW w:w="1298" w:type="dxa"/>
                  <w:vMerge w:val="continue"/>
                  <w:tcBorders>
                    <w:left w:val="single" w:color="auto" w:sz="4" w:space="0"/>
                    <w:right w:val="nil"/>
                  </w:tcBorders>
                  <w:noWrap/>
                  <w:vAlign w:val="center"/>
                </w:tcPr>
                <w:p>
                  <w:pPr>
                    <w:widowControl/>
                    <w:snapToGrid w:val="0"/>
                    <w:jc w:val="center"/>
                    <w:rPr>
                      <w:rFonts w:eastAsia="Times New Roman"/>
                      <w:kern w:val="0"/>
                      <w:szCs w:val="21"/>
                    </w:rPr>
                  </w:pPr>
                </w:p>
              </w:tc>
            </w:tr>
          </w:tbl>
          <w:p>
            <w:pPr>
              <w:adjustRightInd w:val="0"/>
              <w:snapToGrid w:val="0"/>
              <w:spacing w:line="460" w:lineRule="exact"/>
              <w:ind w:firstLine="480" w:firstLineChars="200"/>
              <w:textAlignment w:val="baseline"/>
              <w:rPr>
                <w:color w:val="000000"/>
                <w:sz w:val="24"/>
              </w:rPr>
            </w:pPr>
            <w:r>
              <w:rPr>
                <w:color w:val="000000"/>
                <w:sz w:val="24"/>
              </w:rPr>
              <w:t>项目生产期间高噪声设备经基础减振、厂房隔声后，项目厂区四周噪声</w:t>
            </w:r>
            <w:r>
              <w:rPr>
                <w:rFonts w:hint="eastAsia"/>
                <w:color w:val="000000"/>
                <w:sz w:val="24"/>
              </w:rPr>
              <w:t>预测值</w:t>
            </w:r>
            <w:r>
              <w:rPr>
                <w:color w:val="000000"/>
                <w:sz w:val="24"/>
              </w:rPr>
              <w:t>能够满足《工业企业厂界环境噪声排放标准》（GB12348-2008）3类昼间65dB(A)的标准要求，</w:t>
            </w:r>
            <w:r>
              <w:rPr>
                <w:color w:val="000000" w:themeColor="text1"/>
                <w:kern w:val="0"/>
                <w:sz w:val="24"/>
                <w:szCs w:val="20"/>
                <w14:textFill>
                  <w14:solidFill>
                    <w14:schemeClr w14:val="tx1"/>
                  </w14:solidFill>
                </w14:textFill>
              </w:rPr>
              <w:t>工程噪声对周围声环境影响不大</w:t>
            </w:r>
            <w:r>
              <w:rPr>
                <w:rFonts w:hint="eastAsia"/>
                <w:color w:val="000000" w:themeColor="text1"/>
                <w:kern w:val="0"/>
                <w:sz w:val="24"/>
                <w:szCs w:val="20"/>
                <w14:textFill>
                  <w14:solidFill>
                    <w14:schemeClr w14:val="tx1"/>
                  </w14:solidFill>
                </w14:textFill>
              </w:rPr>
              <w:t>，可接受</w:t>
            </w:r>
            <w:r>
              <w:rPr>
                <w:color w:val="000000"/>
                <w:sz w:val="24"/>
              </w:rPr>
              <w:t>。</w:t>
            </w:r>
          </w:p>
          <w:p>
            <w:pPr>
              <w:pStyle w:val="46"/>
              <w:adjustRightInd w:val="0"/>
              <w:snapToGrid w:val="0"/>
              <w:spacing w:line="460" w:lineRule="exact"/>
              <w:ind w:firstLine="482" w:firstLineChars="200"/>
              <w:rPr>
                <w:b/>
                <w:sz w:val="24"/>
                <w:lang w:val="en-US"/>
              </w:rPr>
            </w:pPr>
            <w:r>
              <w:rPr>
                <w:b/>
                <w:sz w:val="24"/>
                <w:lang w:val="en-US"/>
              </w:rPr>
              <w:t>4、监测要求</w:t>
            </w:r>
          </w:p>
          <w:p>
            <w:pPr>
              <w:pStyle w:val="46"/>
              <w:adjustRightInd w:val="0"/>
              <w:snapToGrid w:val="0"/>
              <w:spacing w:line="460" w:lineRule="exact"/>
              <w:ind w:firstLine="480" w:firstLineChars="200"/>
              <w:rPr>
                <w:sz w:val="24"/>
                <w:lang w:val="en-US"/>
              </w:rPr>
            </w:pPr>
            <w:r>
              <w:rPr>
                <w:rFonts w:hint="eastAsia"/>
                <w:sz w:val="24"/>
                <w:lang w:val="en-US"/>
              </w:rPr>
              <w:t>根据</w:t>
            </w:r>
            <w:r>
              <w:rPr>
                <w:color w:val="000000"/>
                <w:sz w:val="24"/>
              </w:rPr>
              <w:t xml:space="preserve">《排污单位自行监测技术指南 </w:t>
            </w:r>
            <w:r>
              <w:rPr>
                <w:rFonts w:hint="eastAsia"/>
                <w:color w:val="000000"/>
                <w:sz w:val="24"/>
              </w:rPr>
              <w:t>总则</w:t>
            </w:r>
            <w:r>
              <w:rPr>
                <w:color w:val="000000"/>
                <w:sz w:val="24"/>
              </w:rPr>
              <w:t>》（HJ 1084-2020）</w:t>
            </w:r>
            <w:r>
              <w:rPr>
                <w:rFonts w:hint="eastAsia"/>
                <w:sz w:val="24"/>
                <w:lang w:val="en-US"/>
              </w:rPr>
              <w:t>的规定，评价提出项目在生产运行阶段的污染源监测计划，具体监测计划见下表</w:t>
            </w:r>
            <w:r>
              <w:rPr>
                <w:sz w:val="24"/>
                <w:lang w:val="en-US"/>
              </w:rPr>
              <w:t>。</w:t>
            </w:r>
          </w:p>
          <w:p>
            <w:pPr>
              <w:pStyle w:val="46"/>
              <w:adjustRightInd w:val="0"/>
              <w:snapToGrid w:val="0"/>
              <w:spacing w:line="460" w:lineRule="exact"/>
              <w:ind w:firstLine="480" w:firstLineChars="200"/>
              <w:rPr>
                <w:rFonts w:eastAsia="黑体"/>
                <w:sz w:val="24"/>
                <w:lang w:val="en-US"/>
              </w:rPr>
            </w:pPr>
            <w:r>
              <w:rPr>
                <w:rFonts w:eastAsia="黑体"/>
                <w:sz w:val="24"/>
                <w:lang w:val="en-US"/>
              </w:rPr>
              <w:t>表39                污染源自行监测计划表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8"/>
              <w:gridCol w:w="992"/>
              <w:gridCol w:w="992"/>
              <w:gridCol w:w="2127"/>
              <w:gridCol w:w="32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vAlign w:val="center"/>
                </w:tcPr>
                <w:p>
                  <w:pPr>
                    <w:autoSpaceDE w:val="0"/>
                    <w:autoSpaceDN w:val="0"/>
                    <w:adjustRightInd w:val="0"/>
                    <w:snapToGrid w:val="0"/>
                    <w:jc w:val="center"/>
                    <w:rPr>
                      <w:b/>
                      <w:bCs/>
                      <w:color w:val="000000"/>
                      <w:szCs w:val="21"/>
                    </w:rPr>
                  </w:pPr>
                  <w:r>
                    <w:rPr>
                      <w:b/>
                      <w:bCs/>
                      <w:color w:val="000000"/>
                      <w:szCs w:val="21"/>
                    </w:rPr>
                    <w:t>监控类别</w:t>
                  </w:r>
                </w:p>
              </w:tc>
              <w:tc>
                <w:tcPr>
                  <w:tcW w:w="992"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监测指标</w:t>
                  </w:r>
                </w:p>
              </w:tc>
              <w:tc>
                <w:tcPr>
                  <w:tcW w:w="992"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监测点位</w:t>
                  </w:r>
                </w:p>
              </w:tc>
              <w:tc>
                <w:tcPr>
                  <w:tcW w:w="2127"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监测频次</w:t>
                  </w:r>
                </w:p>
              </w:tc>
              <w:tc>
                <w:tcPr>
                  <w:tcW w:w="3287"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噪声</w:t>
                  </w:r>
                </w:p>
              </w:tc>
              <w:tc>
                <w:tcPr>
                  <w:tcW w:w="992"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等效连续A声级</w:t>
                  </w:r>
                </w:p>
              </w:tc>
              <w:tc>
                <w:tcPr>
                  <w:tcW w:w="992"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四周厂界外1m处</w:t>
                  </w:r>
                </w:p>
              </w:tc>
              <w:tc>
                <w:tcPr>
                  <w:tcW w:w="2127" w:type="dxa"/>
                  <w:tcMar>
                    <w:top w:w="0" w:type="dxa"/>
                    <w:left w:w="28" w:type="dxa"/>
                    <w:bottom w:w="0" w:type="dxa"/>
                    <w:right w:w="28" w:type="dxa"/>
                  </w:tcMar>
                  <w:vAlign w:val="center"/>
                </w:tcPr>
                <w:p>
                  <w:pPr>
                    <w:autoSpaceDE w:val="0"/>
                    <w:autoSpaceDN w:val="0"/>
                    <w:adjustRightInd w:val="0"/>
                    <w:snapToGrid w:val="0"/>
                    <w:jc w:val="center"/>
                    <w:rPr>
                      <w:b/>
                      <w:color w:val="000000"/>
                      <w:szCs w:val="21"/>
                    </w:rPr>
                  </w:pPr>
                  <w:r>
                    <w:rPr>
                      <w:color w:val="000000"/>
                      <w:szCs w:val="21"/>
                    </w:rPr>
                    <w:t>每季1次，</w:t>
                  </w:r>
                  <w:r>
                    <w:rPr>
                      <w:rFonts w:hint="eastAsia"/>
                      <w:color w:val="000000"/>
                      <w:szCs w:val="21"/>
                    </w:rPr>
                    <w:t>每次2天，</w:t>
                  </w:r>
                  <w:r>
                    <w:rPr>
                      <w:color w:val="000000"/>
                      <w:szCs w:val="21"/>
                    </w:rPr>
                    <w:t>昼间检测1次</w:t>
                  </w:r>
                </w:p>
              </w:tc>
              <w:tc>
                <w:tcPr>
                  <w:tcW w:w="3287"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《工业企业厂界环境噪声排放标准》（GB12348-2008）3类</w:t>
                  </w:r>
                  <w:r>
                    <w:rPr>
                      <w:rFonts w:hint="eastAsia"/>
                      <w:color w:val="000000"/>
                      <w:szCs w:val="21"/>
                    </w:rPr>
                    <w:t>标准值</w:t>
                  </w:r>
                </w:p>
              </w:tc>
            </w:tr>
          </w:tbl>
          <w:p>
            <w:pPr>
              <w:adjustRightInd w:val="0"/>
              <w:snapToGrid w:val="0"/>
              <w:spacing w:line="460" w:lineRule="exact"/>
              <w:ind w:firstLine="482" w:firstLineChars="200"/>
              <w:rPr>
                <w:bCs/>
                <w:spacing w:val="-10"/>
                <w:sz w:val="24"/>
              </w:rPr>
            </w:pPr>
            <w:r>
              <w:rPr>
                <w:b/>
                <w:color w:val="000000"/>
                <w:sz w:val="24"/>
              </w:rPr>
              <w:t>四、固废</w:t>
            </w:r>
          </w:p>
          <w:p>
            <w:pPr>
              <w:snapToGrid w:val="0"/>
              <w:spacing w:line="460" w:lineRule="exact"/>
              <w:ind w:firstLine="480" w:firstLineChars="200"/>
              <w:rPr>
                <w:color w:val="000000"/>
                <w:sz w:val="24"/>
              </w:rPr>
            </w:pPr>
            <w:r>
              <w:rPr>
                <w:rFonts w:hint="eastAsia"/>
                <w:color w:val="000000"/>
                <w:sz w:val="24"/>
              </w:rPr>
              <w:t>本项目外购环氧乙烷为罐装，使用完毕会产生废包装罐，根据企业提供的资料，环氧乙烷为8</w:t>
            </w:r>
            <w:r>
              <w:rPr>
                <w:color w:val="000000"/>
                <w:sz w:val="24"/>
              </w:rPr>
              <w:t>kg/</w:t>
            </w:r>
            <w:r>
              <w:rPr>
                <w:rFonts w:hint="eastAsia"/>
                <w:color w:val="000000"/>
                <w:sz w:val="24"/>
              </w:rPr>
              <w:t>罐，本项目环氧乙烷使用量为0</w:t>
            </w:r>
            <w:r>
              <w:rPr>
                <w:color w:val="000000"/>
                <w:sz w:val="24"/>
              </w:rPr>
              <w:t>.9t/a</w:t>
            </w:r>
            <w:r>
              <w:rPr>
                <w:rFonts w:hint="eastAsia"/>
                <w:color w:val="000000"/>
                <w:sz w:val="24"/>
              </w:rPr>
              <w:t>，则废包装罐产生量约为</w:t>
            </w:r>
            <w:r>
              <w:rPr>
                <w:color w:val="000000"/>
                <w:sz w:val="24"/>
              </w:rPr>
              <w:t>113</w:t>
            </w:r>
            <w:r>
              <w:rPr>
                <w:rFonts w:hint="eastAsia"/>
                <w:color w:val="000000"/>
                <w:sz w:val="24"/>
              </w:rPr>
              <w:t>个/a，</w:t>
            </w:r>
            <w:r>
              <w:rPr>
                <w:rFonts w:hint="eastAsia"/>
                <w:sz w:val="24"/>
              </w:rPr>
              <w:t>由生产厂家回收再利用</w:t>
            </w:r>
            <w:r>
              <w:rPr>
                <w:rFonts w:hint="eastAsia"/>
                <w:color w:val="000000"/>
                <w:sz w:val="24"/>
              </w:rPr>
              <w:t>。根据</w:t>
            </w:r>
            <w:r>
              <w:rPr>
                <w:rFonts w:hint="eastAsia"/>
                <w:snapToGrid w:val="0"/>
                <w:color w:val="000000"/>
                <w:kern w:val="0"/>
                <w:sz w:val="24"/>
              </w:rPr>
              <w:t>《固体废物鉴别标准 通则》（GB34330-2017）6</w:t>
            </w:r>
            <w:r>
              <w:rPr>
                <w:snapToGrid w:val="0"/>
                <w:color w:val="000000"/>
                <w:kern w:val="0"/>
                <w:sz w:val="24"/>
              </w:rPr>
              <w:t>.1</w:t>
            </w:r>
            <w:r>
              <w:rPr>
                <w:rFonts w:hint="eastAsia"/>
                <w:snapToGrid w:val="0"/>
                <w:color w:val="000000"/>
                <w:kern w:val="0"/>
                <w:sz w:val="24"/>
              </w:rPr>
              <w:t>以下物质不作为固体废物管理：“</w:t>
            </w:r>
            <w:r>
              <w:rPr>
                <w:snapToGrid w:val="0"/>
                <w:color w:val="000000"/>
                <w:kern w:val="0"/>
                <w:sz w:val="24"/>
              </w:rPr>
              <w:t>a</w:t>
            </w:r>
            <w:r>
              <w:rPr>
                <w:rFonts w:hint="eastAsia"/>
                <w:snapToGrid w:val="0"/>
                <w:color w:val="000000"/>
                <w:kern w:val="0"/>
                <w:sz w:val="24"/>
              </w:rPr>
              <w:t>）任何不需要修复和加工即可用于其原始用途的物质，或者在产生点经过修复和加工后满足国家、地方制定或行业通行的产品质量标准并且用于其原始用途的物质”，</w:t>
            </w:r>
            <w:r>
              <w:rPr>
                <w:rFonts w:hint="eastAsia"/>
                <w:color w:val="000000"/>
                <w:sz w:val="24"/>
              </w:rPr>
              <w:t>废包装罐属于</w:t>
            </w:r>
            <w:r>
              <w:rPr>
                <w:rFonts w:hint="eastAsia"/>
                <w:snapToGrid w:val="0"/>
                <w:color w:val="000000"/>
                <w:kern w:val="0"/>
                <w:sz w:val="24"/>
              </w:rPr>
              <w:t>“不需要修复和加工即可用于其原始用途的物质”，因此</w:t>
            </w:r>
            <w:r>
              <w:rPr>
                <w:rFonts w:hint="eastAsia"/>
                <w:color w:val="000000"/>
                <w:sz w:val="24"/>
              </w:rPr>
              <w:t>废包装罐</w:t>
            </w:r>
            <w:r>
              <w:rPr>
                <w:rFonts w:hint="eastAsia"/>
                <w:snapToGrid w:val="0"/>
                <w:color w:val="000000"/>
                <w:kern w:val="0"/>
                <w:sz w:val="24"/>
              </w:rPr>
              <w:t>可以不作为固体废物管理</w:t>
            </w:r>
            <w:r>
              <w:rPr>
                <w:rFonts w:hint="eastAsia"/>
                <w:color w:val="000000"/>
                <w:sz w:val="24"/>
              </w:rPr>
              <w:t>。</w:t>
            </w:r>
            <w:r>
              <w:rPr>
                <w:color w:val="000000"/>
                <w:sz w:val="24"/>
              </w:rPr>
              <w:t>评价</w:t>
            </w:r>
            <w:r>
              <w:rPr>
                <w:rFonts w:hint="eastAsia"/>
                <w:color w:val="000000"/>
                <w:sz w:val="24"/>
              </w:rPr>
              <w:t>提出，</w:t>
            </w:r>
            <w:r>
              <w:rPr>
                <w:color w:val="000000"/>
                <w:sz w:val="24"/>
              </w:rPr>
              <w:t>将</w:t>
            </w:r>
            <w:r>
              <w:rPr>
                <w:rFonts w:hint="eastAsia"/>
                <w:color w:val="000000"/>
                <w:sz w:val="24"/>
              </w:rPr>
              <w:t>废包装罐在废包装罐暂存间暂存后</w:t>
            </w:r>
            <w:r>
              <w:rPr>
                <w:rFonts w:hint="eastAsia"/>
                <w:sz w:val="24"/>
              </w:rPr>
              <w:t>，由生产厂家回收再利用</w:t>
            </w:r>
            <w:r>
              <w:rPr>
                <w:rFonts w:hint="eastAsia"/>
                <w:color w:val="000000"/>
                <w:sz w:val="24"/>
              </w:rPr>
              <w:t>。</w:t>
            </w:r>
          </w:p>
          <w:p>
            <w:pPr>
              <w:adjustRightInd w:val="0"/>
              <w:snapToGrid w:val="0"/>
              <w:spacing w:line="460" w:lineRule="exact"/>
              <w:ind w:firstLine="480" w:firstLineChars="200"/>
              <w:rPr>
                <w:color w:val="000000"/>
                <w:sz w:val="24"/>
              </w:rPr>
            </w:pPr>
            <w:r>
              <w:rPr>
                <w:color w:val="000000"/>
                <w:sz w:val="24"/>
              </w:rPr>
              <w:t>本项目营运期一般固废主要为</w:t>
            </w:r>
            <w:r>
              <w:rPr>
                <w:rFonts w:hint="eastAsia"/>
                <w:color w:val="000000"/>
                <w:sz w:val="24"/>
              </w:rPr>
              <w:t>袋装原料使用和内包装工序</w:t>
            </w:r>
            <w:r>
              <w:rPr>
                <w:color w:val="000000"/>
                <w:sz w:val="24"/>
              </w:rPr>
              <w:t>产生的</w:t>
            </w:r>
            <w:r>
              <w:rPr>
                <w:rFonts w:hint="eastAsia"/>
                <w:color w:val="000000"/>
                <w:sz w:val="24"/>
              </w:rPr>
              <w:t>废包装袋、切片工序</w:t>
            </w:r>
            <w:r>
              <w:rPr>
                <w:color w:val="000000"/>
                <w:sz w:val="24"/>
              </w:rPr>
              <w:t>产生的</w:t>
            </w:r>
            <w:r>
              <w:rPr>
                <w:rFonts w:hint="eastAsia"/>
                <w:color w:val="000000"/>
                <w:sz w:val="24"/>
              </w:rPr>
              <w:t>不合格面罩、成品检验工序</w:t>
            </w:r>
            <w:r>
              <w:rPr>
                <w:color w:val="000000"/>
                <w:sz w:val="24"/>
              </w:rPr>
              <w:t>产生的</w:t>
            </w:r>
            <w:r>
              <w:rPr>
                <w:rFonts w:hint="eastAsia"/>
                <w:color w:val="000000"/>
                <w:sz w:val="24"/>
              </w:rPr>
              <w:t>废面料</w:t>
            </w:r>
            <w:r>
              <w:rPr>
                <w:color w:val="000000"/>
                <w:sz w:val="24"/>
              </w:rPr>
              <w:t>，危险废物为</w:t>
            </w:r>
            <w:r>
              <w:rPr>
                <w:rFonts w:hint="eastAsia"/>
                <w:color w:val="000000"/>
                <w:sz w:val="24"/>
              </w:rPr>
              <w:t>水喷淋装置</w:t>
            </w:r>
            <w:r>
              <w:rPr>
                <w:color w:val="000000"/>
                <w:sz w:val="24"/>
              </w:rPr>
              <w:t>产生的</w:t>
            </w:r>
            <w:r>
              <w:rPr>
                <w:rFonts w:hint="eastAsia"/>
                <w:color w:val="000000"/>
                <w:sz w:val="24"/>
              </w:rPr>
              <w:t>废环氧乙烷吸收液</w:t>
            </w:r>
            <w:r>
              <w:rPr>
                <w:color w:val="000000"/>
                <w:sz w:val="24"/>
              </w:rPr>
              <w:t>。</w:t>
            </w:r>
          </w:p>
          <w:p>
            <w:pPr>
              <w:adjustRightInd w:val="0"/>
              <w:snapToGrid w:val="0"/>
              <w:spacing w:line="460" w:lineRule="exact"/>
              <w:ind w:firstLine="482" w:firstLineChars="200"/>
              <w:rPr>
                <w:b/>
                <w:color w:val="000000"/>
                <w:sz w:val="24"/>
              </w:rPr>
            </w:pPr>
            <w:r>
              <w:rPr>
                <w:b/>
                <w:color w:val="000000"/>
                <w:sz w:val="24"/>
              </w:rPr>
              <w:t>1、一般固废</w:t>
            </w:r>
          </w:p>
          <w:p>
            <w:pPr>
              <w:adjustRightInd w:val="0"/>
              <w:snapToGrid w:val="0"/>
              <w:spacing w:line="460" w:lineRule="exact"/>
              <w:ind w:firstLine="480" w:firstLineChars="200"/>
              <w:textAlignment w:val="baseline"/>
              <w:rPr>
                <w:color w:val="000000"/>
                <w:sz w:val="24"/>
              </w:rPr>
            </w:pPr>
            <w:r>
              <w:rPr>
                <w:color w:val="000000"/>
                <w:sz w:val="24"/>
              </w:rPr>
              <w:t>（1）</w:t>
            </w:r>
            <w:r>
              <w:rPr>
                <w:rFonts w:hint="eastAsia"/>
                <w:color w:val="000000"/>
                <w:sz w:val="24"/>
              </w:rPr>
              <w:t>废包装袋</w:t>
            </w:r>
          </w:p>
          <w:p>
            <w:pPr>
              <w:adjustRightInd w:val="0"/>
              <w:snapToGrid w:val="0"/>
              <w:spacing w:line="460" w:lineRule="exact"/>
              <w:ind w:firstLine="480" w:firstLineChars="200"/>
              <w:textAlignment w:val="baseline"/>
              <w:rPr>
                <w:color w:val="000000"/>
                <w:sz w:val="24"/>
              </w:rPr>
            </w:pPr>
            <w:r>
              <w:rPr>
                <w:color w:val="000000"/>
                <w:sz w:val="24"/>
              </w:rPr>
              <w:t>本项目</w:t>
            </w:r>
            <w:r>
              <w:rPr>
                <w:rFonts w:hint="eastAsia"/>
                <w:color w:val="000000"/>
                <w:sz w:val="24"/>
              </w:rPr>
              <w:t>袋装原料使用完毕后和内包装工序均</w:t>
            </w:r>
            <w:r>
              <w:rPr>
                <w:color w:val="000000"/>
                <w:sz w:val="24"/>
              </w:rPr>
              <w:t>产生的</w:t>
            </w:r>
            <w:r>
              <w:rPr>
                <w:rFonts w:hint="eastAsia"/>
                <w:color w:val="000000"/>
                <w:sz w:val="24"/>
              </w:rPr>
              <w:t>废包装袋。本项目耳带线、鼻梁条均为1</w:t>
            </w:r>
            <w:r>
              <w:rPr>
                <w:color w:val="000000"/>
                <w:sz w:val="24"/>
              </w:rPr>
              <w:t>00kg/</w:t>
            </w:r>
            <w:r>
              <w:rPr>
                <w:rFonts w:hint="eastAsia"/>
                <w:color w:val="000000"/>
                <w:sz w:val="24"/>
              </w:rPr>
              <w:t>袋，单个原料包装袋约0</w:t>
            </w:r>
            <w:r>
              <w:rPr>
                <w:color w:val="000000"/>
                <w:sz w:val="24"/>
              </w:rPr>
              <w:t>.1kg</w:t>
            </w:r>
            <w:r>
              <w:rPr>
                <w:rFonts w:hint="eastAsia"/>
                <w:color w:val="000000"/>
                <w:sz w:val="24"/>
              </w:rPr>
              <w:t>，项目使用耳带线0</w:t>
            </w:r>
            <w:r>
              <w:rPr>
                <w:color w:val="000000"/>
                <w:sz w:val="24"/>
              </w:rPr>
              <w:t>.8t/a</w:t>
            </w:r>
            <w:r>
              <w:rPr>
                <w:rFonts w:hint="eastAsia"/>
                <w:color w:val="000000"/>
                <w:sz w:val="24"/>
              </w:rPr>
              <w:t>、鼻梁条1</w:t>
            </w:r>
            <w:r>
              <w:rPr>
                <w:color w:val="000000"/>
                <w:sz w:val="24"/>
              </w:rPr>
              <w:t>t/a</w:t>
            </w:r>
            <w:r>
              <w:rPr>
                <w:rFonts w:hint="eastAsia"/>
                <w:color w:val="000000"/>
                <w:sz w:val="24"/>
              </w:rPr>
              <w:t>，则废原料包装袋的产生量约为</w:t>
            </w:r>
            <w:r>
              <w:rPr>
                <w:color w:val="000000"/>
                <w:sz w:val="24"/>
              </w:rPr>
              <w:t>0.0018t/a</w:t>
            </w:r>
            <w:r>
              <w:rPr>
                <w:rFonts w:hint="eastAsia"/>
                <w:color w:val="000000"/>
                <w:sz w:val="24"/>
              </w:rPr>
              <w:t>；类比同类企业，项目内包装工序生产过程中废内包装袋产生量约为0</w:t>
            </w:r>
            <w:r>
              <w:rPr>
                <w:color w:val="000000"/>
                <w:sz w:val="24"/>
              </w:rPr>
              <w:t>.02t/a</w:t>
            </w:r>
            <w:r>
              <w:rPr>
                <w:rFonts w:hint="eastAsia"/>
                <w:color w:val="000000"/>
                <w:sz w:val="24"/>
              </w:rPr>
              <w:t>。</w:t>
            </w:r>
          </w:p>
          <w:p>
            <w:pPr>
              <w:adjustRightInd w:val="0"/>
              <w:snapToGrid w:val="0"/>
              <w:spacing w:line="460" w:lineRule="exact"/>
              <w:ind w:firstLine="480" w:firstLineChars="200"/>
              <w:textAlignment w:val="baseline"/>
              <w:rPr>
                <w:color w:val="000000"/>
                <w:sz w:val="24"/>
              </w:rPr>
            </w:pPr>
            <w:r>
              <w:rPr>
                <w:rFonts w:hint="eastAsia"/>
                <w:color w:val="000000"/>
                <w:sz w:val="24"/>
              </w:rPr>
              <w:t>综上，本项目废包装袋的产生量约为</w:t>
            </w:r>
            <w:r>
              <w:rPr>
                <w:color w:val="000000"/>
                <w:sz w:val="24"/>
              </w:rPr>
              <w:t>0.0218t/a。</w:t>
            </w:r>
            <w:r>
              <w:rPr>
                <w:bCs/>
                <w:color w:val="000000"/>
                <w:sz w:val="24"/>
              </w:rPr>
              <w:t>评价提出，</w:t>
            </w:r>
            <w:bookmarkStart w:id="1" w:name="_Hlk100154524"/>
            <w:r>
              <w:rPr>
                <w:rFonts w:hint="eastAsia"/>
                <w:bCs/>
                <w:color w:val="000000"/>
                <w:sz w:val="24"/>
              </w:rPr>
              <w:t>废包装袋</w:t>
            </w:r>
            <w:r>
              <w:rPr>
                <w:bCs/>
                <w:color w:val="000000"/>
                <w:sz w:val="24"/>
              </w:rPr>
              <w:t>在一般固废暂存间暂存后，</w:t>
            </w:r>
            <w:r>
              <w:rPr>
                <w:rFonts w:hint="eastAsia"/>
                <w:bCs/>
                <w:color w:val="000000"/>
                <w:sz w:val="24"/>
              </w:rPr>
              <w:t>定期外售</w:t>
            </w:r>
            <w:bookmarkEnd w:id="1"/>
            <w:r>
              <w:rPr>
                <w:color w:val="000000"/>
                <w:sz w:val="24"/>
              </w:rPr>
              <w:t>。</w:t>
            </w:r>
          </w:p>
          <w:p>
            <w:pPr>
              <w:adjustRightInd w:val="0"/>
              <w:snapToGrid w:val="0"/>
              <w:spacing w:line="460" w:lineRule="exact"/>
              <w:ind w:firstLine="480" w:firstLineChars="200"/>
              <w:textAlignment w:val="baseline"/>
              <w:rPr>
                <w:color w:val="000000"/>
                <w:sz w:val="24"/>
              </w:rPr>
            </w:pPr>
            <w:r>
              <w:rPr>
                <w:color w:val="000000"/>
                <w:sz w:val="24"/>
              </w:rPr>
              <w:t>（2）</w:t>
            </w:r>
            <w:r>
              <w:rPr>
                <w:rFonts w:hint="eastAsia"/>
                <w:color w:val="000000"/>
                <w:sz w:val="24"/>
              </w:rPr>
              <w:t>不合格面罩</w:t>
            </w:r>
          </w:p>
          <w:p>
            <w:pPr>
              <w:adjustRightInd w:val="0"/>
              <w:snapToGrid w:val="0"/>
              <w:spacing w:line="460" w:lineRule="exact"/>
              <w:ind w:firstLine="480" w:firstLineChars="200"/>
              <w:textAlignment w:val="baseline"/>
              <w:rPr>
                <w:color w:val="000000"/>
                <w:sz w:val="24"/>
              </w:rPr>
            </w:pPr>
            <w:r>
              <w:rPr>
                <w:color w:val="000000"/>
                <w:sz w:val="24"/>
              </w:rPr>
              <w:t>本项目</w:t>
            </w:r>
            <w:r>
              <w:rPr>
                <w:rFonts w:hint="eastAsia"/>
                <w:color w:val="000000"/>
                <w:sz w:val="24"/>
              </w:rPr>
              <w:t>切片工序</w:t>
            </w:r>
            <w:r>
              <w:rPr>
                <w:color w:val="000000"/>
                <w:sz w:val="24"/>
              </w:rPr>
              <w:t>产生的</w:t>
            </w:r>
            <w:r>
              <w:rPr>
                <w:rFonts w:hint="eastAsia"/>
                <w:color w:val="000000"/>
                <w:sz w:val="24"/>
              </w:rPr>
              <w:t>不合格面罩，类比同类企业，项目不合格面罩产生量为无纺布、熔喷布、鼻梁条用量的1%，无纺布、熔喷布、鼻梁条总用量为2</w:t>
            </w:r>
            <w:r>
              <w:rPr>
                <w:color w:val="000000"/>
                <w:sz w:val="24"/>
              </w:rPr>
              <w:t>1t/a</w:t>
            </w:r>
            <w:r>
              <w:rPr>
                <w:rFonts w:hint="eastAsia"/>
                <w:color w:val="000000"/>
                <w:sz w:val="24"/>
              </w:rPr>
              <w:t>，则不合格面罩产生量为0</w:t>
            </w:r>
            <w:r>
              <w:rPr>
                <w:color w:val="000000"/>
                <w:sz w:val="24"/>
              </w:rPr>
              <w:t>.21t/a</w:t>
            </w:r>
            <w:r>
              <w:rPr>
                <w:rFonts w:hint="eastAsia"/>
                <w:color w:val="000000"/>
                <w:sz w:val="24"/>
              </w:rPr>
              <w:t>。</w:t>
            </w:r>
            <w:r>
              <w:rPr>
                <w:bCs/>
                <w:color w:val="000000"/>
                <w:sz w:val="24"/>
              </w:rPr>
              <w:t>评价提出，</w:t>
            </w:r>
            <w:r>
              <w:rPr>
                <w:rFonts w:hint="eastAsia"/>
                <w:color w:val="000000"/>
                <w:sz w:val="24"/>
              </w:rPr>
              <w:t>不合格面罩</w:t>
            </w:r>
            <w:r>
              <w:rPr>
                <w:bCs/>
                <w:color w:val="000000"/>
                <w:sz w:val="24"/>
              </w:rPr>
              <w:t>在一般固废暂存间暂存后，</w:t>
            </w:r>
            <w:r>
              <w:rPr>
                <w:rFonts w:hint="eastAsia"/>
                <w:bCs/>
                <w:color w:val="000000"/>
                <w:sz w:val="24"/>
              </w:rPr>
              <w:t>定期外售</w:t>
            </w:r>
            <w:r>
              <w:rPr>
                <w:color w:val="000000"/>
                <w:sz w:val="24"/>
              </w:rPr>
              <w:t>。</w:t>
            </w:r>
          </w:p>
          <w:p>
            <w:pPr>
              <w:adjustRightInd w:val="0"/>
              <w:snapToGrid w:val="0"/>
              <w:spacing w:line="460" w:lineRule="exact"/>
              <w:ind w:firstLine="480" w:firstLineChars="200"/>
              <w:textAlignment w:val="baseline"/>
              <w:rPr>
                <w:color w:val="000000"/>
                <w:sz w:val="24"/>
              </w:rPr>
            </w:pPr>
            <w:r>
              <w:rPr>
                <w:color w:val="000000"/>
                <w:sz w:val="24"/>
              </w:rPr>
              <w:t>（3）</w:t>
            </w:r>
            <w:r>
              <w:rPr>
                <w:rFonts w:hint="eastAsia"/>
                <w:color w:val="000000"/>
                <w:sz w:val="24"/>
              </w:rPr>
              <w:t>废面料</w:t>
            </w:r>
          </w:p>
          <w:p>
            <w:pPr>
              <w:adjustRightInd w:val="0"/>
              <w:snapToGrid w:val="0"/>
              <w:spacing w:line="460" w:lineRule="exact"/>
              <w:ind w:firstLine="480" w:firstLineChars="200"/>
              <w:textAlignment w:val="baseline"/>
              <w:rPr>
                <w:color w:val="000000"/>
                <w:sz w:val="24"/>
              </w:rPr>
            </w:pPr>
            <w:r>
              <w:rPr>
                <w:color w:val="000000"/>
                <w:sz w:val="24"/>
              </w:rPr>
              <w:t>本项目</w:t>
            </w:r>
            <w:r>
              <w:rPr>
                <w:rFonts w:hint="eastAsia"/>
                <w:color w:val="000000"/>
                <w:sz w:val="24"/>
              </w:rPr>
              <w:t>成品检验工序</w:t>
            </w:r>
            <w:r>
              <w:rPr>
                <w:color w:val="000000"/>
                <w:sz w:val="24"/>
              </w:rPr>
              <w:t>产生的</w:t>
            </w:r>
            <w:r>
              <w:rPr>
                <w:rFonts w:hint="eastAsia"/>
                <w:color w:val="000000"/>
                <w:sz w:val="24"/>
              </w:rPr>
              <w:t>废面料，类比同类企业，项目废面料产生量为无纺布、熔喷布、鼻梁条、耳带线用量的1%，无纺布、熔喷布、鼻梁条、耳带线总用量为2</w:t>
            </w:r>
            <w:r>
              <w:rPr>
                <w:color w:val="000000"/>
                <w:sz w:val="24"/>
              </w:rPr>
              <w:t>1.8t/a</w:t>
            </w:r>
            <w:r>
              <w:rPr>
                <w:rFonts w:hint="eastAsia"/>
                <w:color w:val="000000"/>
                <w:sz w:val="24"/>
              </w:rPr>
              <w:t>，则不合格面罩产生量为0</w:t>
            </w:r>
            <w:r>
              <w:rPr>
                <w:color w:val="000000"/>
                <w:sz w:val="24"/>
              </w:rPr>
              <w:t>.218t/a</w:t>
            </w:r>
            <w:r>
              <w:rPr>
                <w:rFonts w:hint="eastAsia"/>
                <w:color w:val="000000"/>
                <w:sz w:val="24"/>
              </w:rPr>
              <w:t>。</w:t>
            </w:r>
            <w:r>
              <w:rPr>
                <w:bCs/>
                <w:color w:val="000000"/>
                <w:sz w:val="24"/>
              </w:rPr>
              <w:t>评价提出，</w:t>
            </w:r>
            <w:r>
              <w:rPr>
                <w:rFonts w:hint="eastAsia"/>
                <w:color w:val="000000"/>
                <w:sz w:val="24"/>
              </w:rPr>
              <w:t>废面料</w:t>
            </w:r>
            <w:r>
              <w:rPr>
                <w:bCs/>
                <w:color w:val="000000"/>
                <w:sz w:val="24"/>
              </w:rPr>
              <w:t>在一般固废暂存间暂存后，</w:t>
            </w:r>
            <w:r>
              <w:rPr>
                <w:rFonts w:hint="eastAsia"/>
                <w:bCs/>
                <w:color w:val="000000"/>
                <w:sz w:val="24"/>
              </w:rPr>
              <w:t>定期外售</w:t>
            </w:r>
            <w:r>
              <w:rPr>
                <w:color w:val="000000"/>
                <w:sz w:val="24"/>
              </w:rPr>
              <w:t>。</w:t>
            </w:r>
          </w:p>
          <w:p>
            <w:pPr>
              <w:adjustRightInd w:val="0"/>
              <w:snapToGrid w:val="0"/>
              <w:spacing w:line="460" w:lineRule="exact"/>
              <w:ind w:firstLine="482" w:firstLineChars="200"/>
              <w:rPr>
                <w:b/>
                <w:color w:val="000000"/>
                <w:sz w:val="24"/>
              </w:rPr>
            </w:pPr>
            <w:r>
              <w:rPr>
                <w:b/>
                <w:color w:val="000000"/>
                <w:sz w:val="24"/>
              </w:rPr>
              <w:t>2、危险废物</w:t>
            </w:r>
          </w:p>
          <w:p>
            <w:pPr>
              <w:adjustRightInd w:val="0"/>
              <w:snapToGrid w:val="0"/>
              <w:spacing w:line="440" w:lineRule="exact"/>
              <w:ind w:firstLine="480" w:firstLineChars="200"/>
              <w:textAlignment w:val="baseline"/>
              <w:rPr>
                <w:color w:val="000000"/>
                <w:sz w:val="24"/>
                <w:highlight w:val="yellow"/>
              </w:rPr>
            </w:pPr>
            <w:r>
              <w:rPr>
                <w:color w:val="000000"/>
                <w:sz w:val="24"/>
              </w:rPr>
              <w:t>（1）</w:t>
            </w:r>
            <w:r>
              <w:rPr>
                <w:rFonts w:hint="eastAsia"/>
                <w:color w:val="000000"/>
                <w:sz w:val="24"/>
              </w:rPr>
              <w:t>废环氧乙烷吸收液</w:t>
            </w:r>
          </w:p>
          <w:p>
            <w:pPr>
              <w:spacing w:line="460" w:lineRule="exact"/>
              <w:ind w:firstLine="480" w:firstLineChars="200"/>
              <w:rPr>
                <w:bCs/>
                <w:color w:val="000000"/>
                <w:sz w:val="24"/>
              </w:rPr>
            </w:pPr>
            <w:r>
              <w:rPr>
                <w:color w:val="000000"/>
                <w:sz w:val="24"/>
              </w:rPr>
              <w:t>本项目</w:t>
            </w:r>
            <w:r>
              <w:rPr>
                <w:rFonts w:hint="eastAsia"/>
                <w:color w:val="000000"/>
                <w:sz w:val="24"/>
              </w:rPr>
              <w:t>水喷淋装置会产生废环氧乙烷吸收液，</w:t>
            </w:r>
            <w:r>
              <w:rPr>
                <w:color w:val="000000"/>
                <w:sz w:val="24"/>
              </w:rPr>
              <w:t>由对</w:t>
            </w:r>
            <w:r>
              <w:rPr>
                <w:rFonts w:hint="eastAsia"/>
                <w:color w:val="000000"/>
                <w:sz w:val="24"/>
              </w:rPr>
              <w:t>废水</w:t>
            </w:r>
            <w:r>
              <w:rPr>
                <w:color w:val="000000"/>
                <w:sz w:val="24"/>
              </w:rPr>
              <w:t>污染物的分析可知</w:t>
            </w:r>
            <w:r>
              <w:rPr>
                <w:rFonts w:hint="eastAsia"/>
                <w:color w:val="000000"/>
                <w:sz w:val="24"/>
              </w:rPr>
              <w:t>，</w:t>
            </w:r>
            <w:r>
              <w:rPr>
                <w:rFonts w:hint="eastAsia"/>
                <w:sz w:val="24"/>
              </w:rPr>
              <w:t>水喷淋废水即废环氧乙烷吸收液</w:t>
            </w:r>
            <w:r>
              <w:rPr>
                <w:sz w:val="24"/>
              </w:rPr>
              <w:t>产生量为1.5t/a。</w:t>
            </w:r>
            <w:r>
              <w:rPr>
                <w:rFonts w:hint="eastAsia"/>
                <w:color w:val="000000"/>
                <w:sz w:val="24"/>
              </w:rPr>
              <w:t>经查阅《</w:t>
            </w:r>
            <w:r>
              <w:rPr>
                <w:color w:val="000000"/>
                <w:sz w:val="24"/>
              </w:rPr>
              <w:t>国家危险废物名录（2021年版）</w:t>
            </w:r>
            <w:r>
              <w:rPr>
                <w:rFonts w:hint="eastAsia"/>
                <w:color w:val="000000"/>
                <w:sz w:val="24"/>
              </w:rPr>
              <w:t>》</w:t>
            </w:r>
            <w:r>
              <w:rPr>
                <w:color w:val="000000"/>
                <w:sz w:val="24"/>
              </w:rPr>
              <w:t>，</w:t>
            </w:r>
            <w:r>
              <w:rPr>
                <w:rFonts w:hint="eastAsia"/>
                <w:color w:val="000000"/>
                <w:sz w:val="24"/>
              </w:rPr>
              <w:t>废环氧乙烷吸收液属于</w:t>
            </w:r>
            <w:r>
              <w:rPr>
                <w:color w:val="000000"/>
                <w:sz w:val="24"/>
              </w:rPr>
              <w:t>危险废物（</w:t>
            </w:r>
            <w:r>
              <w:rPr>
                <w:rFonts w:hint="eastAsia"/>
                <w:color w:val="000000"/>
                <w:sz w:val="24"/>
              </w:rPr>
              <w:t>参考</w:t>
            </w:r>
            <w:r>
              <w:rPr>
                <w:color w:val="000000"/>
                <w:sz w:val="24"/>
              </w:rPr>
              <w:t>HW06</w:t>
            </w:r>
            <w:r>
              <w:rPr>
                <w:rFonts w:hint="eastAsia"/>
                <w:color w:val="000000"/>
                <w:sz w:val="24"/>
              </w:rPr>
              <w:t>废有机溶剂与含有机溶剂废物</w:t>
            </w:r>
            <w:r>
              <w:rPr>
                <w:color w:val="000000"/>
                <w:sz w:val="24"/>
              </w:rPr>
              <w:t>中</w:t>
            </w:r>
            <w:r>
              <w:rPr>
                <w:rFonts w:hint="eastAsia"/>
                <w:color w:val="000000"/>
                <w:sz w:val="24"/>
              </w:rPr>
              <w:t>“</w:t>
            </w:r>
            <w:r>
              <w:rPr>
                <w:color w:val="000000"/>
                <w:sz w:val="24"/>
              </w:rPr>
              <w:t>900-404-06</w:t>
            </w:r>
            <w:r>
              <w:rPr>
                <w:rFonts w:hint="eastAsia"/>
                <w:color w:val="000000"/>
                <w:sz w:val="24"/>
              </w:rPr>
              <w:t>”工业生产中作为清洗剂、萃取剂、溶剂或反应介质使用后废弃的其他列入《危险化学品名录》的有机溶剂，以及在使用前混合的含有一种或多种上述溶剂的混合/调和溶剂</w:t>
            </w:r>
            <w:r>
              <w:rPr>
                <w:color w:val="000000"/>
                <w:sz w:val="24"/>
              </w:rPr>
              <w:t>）。评价提出</w:t>
            </w:r>
            <w:r>
              <w:rPr>
                <w:rFonts w:hint="eastAsia"/>
                <w:color w:val="000000"/>
                <w:sz w:val="24"/>
              </w:rPr>
              <w:t>，废环氧乙烷吸收液</w:t>
            </w:r>
            <w:r>
              <w:rPr>
                <w:color w:val="000000"/>
                <w:sz w:val="24"/>
              </w:rPr>
              <w:t>在危废暂存间暂存后，</w:t>
            </w:r>
            <w:r>
              <w:rPr>
                <w:bCs/>
                <w:color w:val="000000"/>
                <w:sz w:val="24"/>
              </w:rPr>
              <w:t>定期委托有</w:t>
            </w:r>
            <w:r>
              <w:rPr>
                <w:rFonts w:hint="eastAsia"/>
                <w:bCs/>
                <w:color w:val="000000"/>
                <w:sz w:val="24"/>
              </w:rPr>
              <w:t>相应</w:t>
            </w:r>
            <w:r>
              <w:rPr>
                <w:bCs/>
                <w:color w:val="000000"/>
                <w:sz w:val="24"/>
              </w:rPr>
              <w:t>危废处理资质单位安全处置。</w:t>
            </w:r>
          </w:p>
          <w:p>
            <w:pPr>
              <w:adjustRightInd w:val="0"/>
              <w:snapToGrid w:val="0"/>
              <w:spacing w:line="460" w:lineRule="exact"/>
              <w:ind w:firstLine="480" w:firstLineChars="200"/>
              <w:rPr>
                <w:rFonts w:eastAsia="黑体"/>
                <w:color w:val="000000"/>
                <w:sz w:val="24"/>
              </w:rPr>
            </w:pPr>
            <w:r>
              <w:rPr>
                <w:rFonts w:eastAsia="黑体"/>
                <w:color w:val="000000"/>
                <w:sz w:val="24"/>
              </w:rPr>
              <w:t>表40                固体废物详情一览表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85"/>
              <w:gridCol w:w="1276"/>
              <w:gridCol w:w="1134"/>
              <w:gridCol w:w="1146"/>
              <w:gridCol w:w="28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85" w:type="dxa"/>
                  <w:vAlign w:val="center"/>
                </w:tcPr>
                <w:p>
                  <w:pPr>
                    <w:jc w:val="center"/>
                    <w:rPr>
                      <w:b/>
                      <w:color w:val="000000"/>
                      <w:szCs w:val="21"/>
                    </w:rPr>
                  </w:pPr>
                  <w:r>
                    <w:rPr>
                      <w:b/>
                      <w:color w:val="000000"/>
                      <w:szCs w:val="21"/>
                    </w:rPr>
                    <w:t>排放源</w:t>
                  </w:r>
                </w:p>
              </w:tc>
              <w:tc>
                <w:tcPr>
                  <w:tcW w:w="1276" w:type="dxa"/>
                  <w:vAlign w:val="center"/>
                </w:tcPr>
                <w:p>
                  <w:pPr>
                    <w:jc w:val="center"/>
                    <w:rPr>
                      <w:b/>
                      <w:color w:val="000000"/>
                      <w:szCs w:val="21"/>
                    </w:rPr>
                  </w:pPr>
                  <w:r>
                    <w:rPr>
                      <w:b/>
                      <w:color w:val="000000"/>
                      <w:szCs w:val="21"/>
                    </w:rPr>
                    <w:t>固废名称</w:t>
                  </w:r>
                </w:p>
              </w:tc>
              <w:tc>
                <w:tcPr>
                  <w:tcW w:w="1134" w:type="dxa"/>
                  <w:vAlign w:val="center"/>
                </w:tcPr>
                <w:p>
                  <w:pPr>
                    <w:jc w:val="center"/>
                    <w:rPr>
                      <w:b/>
                      <w:color w:val="000000"/>
                      <w:szCs w:val="21"/>
                    </w:rPr>
                  </w:pPr>
                  <w:r>
                    <w:rPr>
                      <w:b/>
                      <w:color w:val="000000"/>
                      <w:szCs w:val="21"/>
                    </w:rPr>
                    <w:t>固废性质</w:t>
                  </w:r>
                </w:p>
              </w:tc>
              <w:tc>
                <w:tcPr>
                  <w:tcW w:w="1146" w:type="dxa"/>
                  <w:vAlign w:val="center"/>
                </w:tcPr>
                <w:p>
                  <w:pPr>
                    <w:jc w:val="center"/>
                    <w:rPr>
                      <w:b/>
                      <w:color w:val="000000"/>
                      <w:szCs w:val="21"/>
                    </w:rPr>
                  </w:pPr>
                  <w:r>
                    <w:rPr>
                      <w:b/>
                      <w:color w:val="000000"/>
                      <w:szCs w:val="21"/>
                    </w:rPr>
                    <w:t>产生量</w:t>
                  </w:r>
                  <w:r>
                    <w:rPr>
                      <w:rFonts w:hint="eastAsia"/>
                      <w:b/>
                      <w:color w:val="000000"/>
                      <w:szCs w:val="21"/>
                    </w:rPr>
                    <w:t>(</w:t>
                  </w:r>
                  <w:r>
                    <w:rPr>
                      <w:b/>
                      <w:color w:val="000000"/>
                      <w:szCs w:val="21"/>
                    </w:rPr>
                    <w:t>t/a</w:t>
                  </w:r>
                  <w:r>
                    <w:rPr>
                      <w:rFonts w:hint="eastAsia"/>
                      <w:b/>
                      <w:color w:val="000000"/>
                      <w:szCs w:val="21"/>
                    </w:rPr>
                    <w:t>)</w:t>
                  </w:r>
                </w:p>
              </w:tc>
              <w:tc>
                <w:tcPr>
                  <w:tcW w:w="2805" w:type="dxa"/>
                  <w:vAlign w:val="center"/>
                </w:tcPr>
                <w:p>
                  <w:pPr>
                    <w:jc w:val="center"/>
                    <w:rPr>
                      <w:b/>
                      <w:color w:val="000000"/>
                      <w:szCs w:val="21"/>
                    </w:rPr>
                  </w:pPr>
                  <w:r>
                    <w:rPr>
                      <w:b/>
                      <w:color w:val="000000"/>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85" w:type="dxa"/>
                  <w:vAlign w:val="center"/>
                </w:tcPr>
                <w:p>
                  <w:pPr>
                    <w:pStyle w:val="39"/>
                    <w:rPr>
                      <w:color w:val="000000"/>
                      <w:lang w:val="en-US"/>
                    </w:rPr>
                  </w:pPr>
                  <w:r>
                    <w:rPr>
                      <w:rFonts w:hint="eastAsia"/>
                      <w:color w:val="000000"/>
                      <w:lang w:val="en-US"/>
                    </w:rPr>
                    <w:t>袋装原料使用、内包装工序</w:t>
                  </w:r>
                </w:p>
              </w:tc>
              <w:tc>
                <w:tcPr>
                  <w:tcW w:w="1276" w:type="dxa"/>
                  <w:vAlign w:val="center"/>
                </w:tcPr>
                <w:p>
                  <w:pPr>
                    <w:pStyle w:val="39"/>
                    <w:rPr>
                      <w:color w:val="000000"/>
                      <w:lang w:val="en-US"/>
                    </w:rPr>
                  </w:pPr>
                  <w:r>
                    <w:rPr>
                      <w:rFonts w:hint="eastAsia"/>
                      <w:color w:val="000000"/>
                      <w:lang w:val="en-US"/>
                    </w:rPr>
                    <w:t>废包装袋</w:t>
                  </w:r>
                </w:p>
              </w:tc>
              <w:tc>
                <w:tcPr>
                  <w:tcW w:w="1134" w:type="dxa"/>
                  <w:vAlign w:val="center"/>
                </w:tcPr>
                <w:p>
                  <w:pPr>
                    <w:jc w:val="center"/>
                    <w:rPr>
                      <w:color w:val="000000"/>
                      <w:szCs w:val="21"/>
                    </w:rPr>
                  </w:pPr>
                  <w:r>
                    <w:rPr>
                      <w:color w:val="000000"/>
                      <w:szCs w:val="21"/>
                    </w:rPr>
                    <w:t>一般固废</w:t>
                  </w:r>
                </w:p>
              </w:tc>
              <w:tc>
                <w:tcPr>
                  <w:tcW w:w="1146" w:type="dxa"/>
                  <w:vAlign w:val="center"/>
                </w:tcPr>
                <w:p>
                  <w:pPr>
                    <w:jc w:val="center"/>
                    <w:rPr>
                      <w:color w:val="000000"/>
                      <w:szCs w:val="21"/>
                    </w:rPr>
                  </w:pPr>
                  <w:r>
                    <w:rPr>
                      <w:color w:val="000000"/>
                      <w:szCs w:val="21"/>
                    </w:rPr>
                    <w:t>0.0218</w:t>
                  </w:r>
                </w:p>
              </w:tc>
              <w:tc>
                <w:tcPr>
                  <w:tcW w:w="2805" w:type="dxa"/>
                  <w:vMerge w:val="restart"/>
                  <w:vAlign w:val="center"/>
                </w:tcPr>
                <w:p>
                  <w:pPr>
                    <w:pStyle w:val="39"/>
                    <w:rPr>
                      <w:color w:val="000000"/>
                      <w:lang w:val="en-US"/>
                    </w:rPr>
                  </w:pPr>
                  <w:r>
                    <w:rPr>
                      <w:color w:val="000000"/>
                      <w:lang w:val="en-US"/>
                    </w:rPr>
                    <w:t>收集至一般固废暂存间暂存后，</w:t>
                  </w:r>
                  <w:r>
                    <w:rPr>
                      <w:rFonts w:hint="eastAsia"/>
                      <w:color w:val="000000"/>
                      <w:lang w:val="en-US"/>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85" w:type="dxa"/>
                  <w:vAlign w:val="center"/>
                </w:tcPr>
                <w:p>
                  <w:pPr>
                    <w:pStyle w:val="39"/>
                    <w:rPr>
                      <w:color w:val="000000"/>
                      <w:lang w:val="en-US"/>
                    </w:rPr>
                  </w:pPr>
                  <w:r>
                    <w:rPr>
                      <w:rFonts w:hint="eastAsia"/>
                      <w:color w:val="000000"/>
                      <w:lang w:val="en-US"/>
                    </w:rPr>
                    <w:t>切片工序</w:t>
                  </w:r>
                </w:p>
              </w:tc>
              <w:tc>
                <w:tcPr>
                  <w:tcW w:w="1276" w:type="dxa"/>
                  <w:vAlign w:val="center"/>
                </w:tcPr>
                <w:p>
                  <w:pPr>
                    <w:pStyle w:val="39"/>
                    <w:rPr>
                      <w:color w:val="000000"/>
                      <w:lang w:val="en-US"/>
                    </w:rPr>
                  </w:pPr>
                  <w:r>
                    <w:rPr>
                      <w:rFonts w:hint="eastAsia"/>
                      <w:color w:val="000000"/>
                      <w:lang w:val="en-US"/>
                    </w:rPr>
                    <w:t>不合格面罩</w:t>
                  </w:r>
                </w:p>
              </w:tc>
              <w:tc>
                <w:tcPr>
                  <w:tcW w:w="1134" w:type="dxa"/>
                  <w:vAlign w:val="center"/>
                </w:tcPr>
                <w:p>
                  <w:pPr>
                    <w:jc w:val="center"/>
                    <w:rPr>
                      <w:color w:val="000000"/>
                      <w:szCs w:val="21"/>
                    </w:rPr>
                  </w:pPr>
                  <w:r>
                    <w:rPr>
                      <w:color w:val="000000"/>
                      <w:szCs w:val="21"/>
                    </w:rPr>
                    <w:t>一般固废</w:t>
                  </w:r>
                </w:p>
              </w:tc>
              <w:tc>
                <w:tcPr>
                  <w:tcW w:w="1146" w:type="dxa"/>
                  <w:vAlign w:val="center"/>
                </w:tcPr>
                <w:p>
                  <w:pPr>
                    <w:jc w:val="center"/>
                    <w:rPr>
                      <w:color w:val="000000"/>
                      <w:szCs w:val="21"/>
                    </w:rPr>
                  </w:pPr>
                  <w:r>
                    <w:rPr>
                      <w:rFonts w:hint="eastAsia"/>
                      <w:color w:val="000000"/>
                      <w:szCs w:val="21"/>
                    </w:rPr>
                    <w:t>0</w:t>
                  </w:r>
                  <w:r>
                    <w:rPr>
                      <w:color w:val="000000"/>
                      <w:szCs w:val="21"/>
                    </w:rPr>
                    <w:t>.21</w:t>
                  </w:r>
                </w:p>
              </w:tc>
              <w:tc>
                <w:tcPr>
                  <w:tcW w:w="2805" w:type="dxa"/>
                  <w:vMerge w:val="continue"/>
                  <w:vAlign w:val="center"/>
                </w:tcPr>
                <w:p>
                  <w:pPr>
                    <w:pStyle w:val="39"/>
                    <w:rPr>
                      <w:color w:val="000000"/>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85" w:type="dxa"/>
                  <w:vAlign w:val="center"/>
                </w:tcPr>
                <w:p>
                  <w:pPr>
                    <w:pStyle w:val="39"/>
                    <w:rPr>
                      <w:color w:val="000000"/>
                      <w:lang w:val="en-US"/>
                    </w:rPr>
                  </w:pPr>
                  <w:r>
                    <w:rPr>
                      <w:rFonts w:hint="eastAsia"/>
                      <w:color w:val="000000"/>
                      <w:lang w:val="en-US"/>
                    </w:rPr>
                    <w:t>成品检验工序</w:t>
                  </w:r>
                </w:p>
              </w:tc>
              <w:tc>
                <w:tcPr>
                  <w:tcW w:w="1276" w:type="dxa"/>
                  <w:vAlign w:val="center"/>
                </w:tcPr>
                <w:p>
                  <w:pPr>
                    <w:pStyle w:val="39"/>
                    <w:rPr>
                      <w:color w:val="000000"/>
                      <w:lang w:val="en-US"/>
                    </w:rPr>
                  </w:pPr>
                  <w:r>
                    <w:rPr>
                      <w:rFonts w:hint="eastAsia"/>
                      <w:color w:val="000000"/>
                      <w:lang w:val="en-US"/>
                    </w:rPr>
                    <w:t>废</w:t>
                  </w:r>
                  <w:r>
                    <w:rPr>
                      <w:color w:val="000000"/>
                      <w:lang w:val="en-US"/>
                    </w:rPr>
                    <w:t>面料</w:t>
                  </w:r>
                </w:p>
              </w:tc>
              <w:tc>
                <w:tcPr>
                  <w:tcW w:w="1134" w:type="dxa"/>
                  <w:vAlign w:val="center"/>
                </w:tcPr>
                <w:p>
                  <w:pPr>
                    <w:jc w:val="center"/>
                    <w:rPr>
                      <w:color w:val="000000"/>
                      <w:szCs w:val="21"/>
                    </w:rPr>
                  </w:pPr>
                  <w:r>
                    <w:rPr>
                      <w:color w:val="000000"/>
                      <w:szCs w:val="21"/>
                    </w:rPr>
                    <w:t>一般固废</w:t>
                  </w:r>
                </w:p>
              </w:tc>
              <w:tc>
                <w:tcPr>
                  <w:tcW w:w="1146" w:type="dxa"/>
                  <w:vAlign w:val="center"/>
                </w:tcPr>
                <w:p>
                  <w:pPr>
                    <w:jc w:val="center"/>
                    <w:rPr>
                      <w:color w:val="000000"/>
                      <w:szCs w:val="21"/>
                    </w:rPr>
                  </w:pPr>
                  <w:r>
                    <w:rPr>
                      <w:rFonts w:hint="eastAsia"/>
                      <w:color w:val="000000"/>
                      <w:szCs w:val="21"/>
                    </w:rPr>
                    <w:t>0</w:t>
                  </w:r>
                  <w:r>
                    <w:rPr>
                      <w:color w:val="000000"/>
                      <w:szCs w:val="21"/>
                    </w:rPr>
                    <w:t>.218</w:t>
                  </w:r>
                </w:p>
              </w:tc>
              <w:tc>
                <w:tcPr>
                  <w:tcW w:w="2805" w:type="dxa"/>
                  <w:vMerge w:val="continue"/>
                  <w:vAlign w:val="center"/>
                </w:tcPr>
                <w:p>
                  <w:pPr>
                    <w:pStyle w:val="39"/>
                    <w:rPr>
                      <w:color w:val="000000"/>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85" w:type="dxa"/>
                  <w:vAlign w:val="center"/>
                </w:tcPr>
                <w:p>
                  <w:pPr>
                    <w:pStyle w:val="39"/>
                    <w:rPr>
                      <w:color w:val="000000"/>
                      <w:lang w:val="en-US"/>
                    </w:rPr>
                  </w:pPr>
                  <w:r>
                    <w:rPr>
                      <w:rFonts w:hint="eastAsia"/>
                      <w:color w:val="000000"/>
                      <w:lang w:val="en-US"/>
                    </w:rPr>
                    <w:t>水喷淋装置</w:t>
                  </w:r>
                </w:p>
              </w:tc>
              <w:tc>
                <w:tcPr>
                  <w:tcW w:w="1276" w:type="dxa"/>
                  <w:vAlign w:val="center"/>
                </w:tcPr>
                <w:p>
                  <w:pPr>
                    <w:pStyle w:val="39"/>
                    <w:rPr>
                      <w:color w:val="000000"/>
                      <w:lang w:val="en-US"/>
                    </w:rPr>
                  </w:pPr>
                  <w:r>
                    <w:rPr>
                      <w:rFonts w:hint="eastAsia"/>
                      <w:color w:val="000000"/>
                      <w:lang w:val="en-US"/>
                    </w:rPr>
                    <w:t>废环氧乙烷吸收液</w:t>
                  </w:r>
                </w:p>
              </w:tc>
              <w:tc>
                <w:tcPr>
                  <w:tcW w:w="1134" w:type="dxa"/>
                  <w:vAlign w:val="center"/>
                </w:tcPr>
                <w:p>
                  <w:pPr>
                    <w:jc w:val="center"/>
                    <w:rPr>
                      <w:color w:val="000000"/>
                      <w:szCs w:val="21"/>
                    </w:rPr>
                  </w:pPr>
                  <w:r>
                    <w:rPr>
                      <w:color w:val="000000"/>
                      <w:szCs w:val="21"/>
                    </w:rPr>
                    <w:t>危险废物</w:t>
                  </w:r>
                </w:p>
              </w:tc>
              <w:tc>
                <w:tcPr>
                  <w:tcW w:w="1146" w:type="dxa"/>
                  <w:vAlign w:val="center"/>
                </w:tcPr>
                <w:p>
                  <w:pPr>
                    <w:jc w:val="center"/>
                    <w:rPr>
                      <w:color w:val="000000"/>
                      <w:szCs w:val="21"/>
                    </w:rPr>
                  </w:pPr>
                  <w:r>
                    <w:rPr>
                      <w:rFonts w:hint="eastAsia"/>
                      <w:color w:val="000000"/>
                      <w:szCs w:val="21"/>
                    </w:rPr>
                    <w:t>1</w:t>
                  </w:r>
                  <w:r>
                    <w:rPr>
                      <w:color w:val="000000"/>
                      <w:szCs w:val="21"/>
                    </w:rPr>
                    <w:t>.5</w:t>
                  </w:r>
                </w:p>
              </w:tc>
              <w:tc>
                <w:tcPr>
                  <w:tcW w:w="2805" w:type="dxa"/>
                  <w:vAlign w:val="center"/>
                </w:tcPr>
                <w:p>
                  <w:pPr>
                    <w:pStyle w:val="39"/>
                    <w:rPr>
                      <w:color w:val="000000"/>
                      <w:lang w:val="en-US"/>
                    </w:rPr>
                  </w:pPr>
                  <w:r>
                    <w:rPr>
                      <w:color w:val="000000"/>
                      <w:lang w:val="en-US"/>
                    </w:rPr>
                    <w:t>危废贮存间暂存，定期委托有相应危废处置资质的单位处置</w:t>
                  </w:r>
                </w:p>
              </w:tc>
            </w:tr>
          </w:tbl>
          <w:p>
            <w:pPr>
              <w:spacing w:line="460" w:lineRule="exact"/>
              <w:ind w:firstLine="480" w:firstLineChars="200"/>
              <w:rPr>
                <w:rFonts w:eastAsia="黑体"/>
                <w:color w:val="000000"/>
                <w:sz w:val="24"/>
              </w:rPr>
            </w:pPr>
            <w:r>
              <w:rPr>
                <w:rFonts w:eastAsia="黑体"/>
                <w:color w:val="000000"/>
                <w:sz w:val="24"/>
              </w:rPr>
              <w:t>表41                 一般固体废物汇总表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12"/>
              <w:gridCol w:w="1285"/>
              <w:gridCol w:w="1143"/>
              <w:gridCol w:w="1000"/>
              <w:gridCol w:w="1143"/>
              <w:gridCol w:w="16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jc w:val="center"/>
                    <w:rPr>
                      <w:b/>
                      <w:color w:val="000000"/>
                      <w:szCs w:val="21"/>
                    </w:rPr>
                  </w:pPr>
                  <w:r>
                    <w:rPr>
                      <w:b/>
                      <w:color w:val="000000"/>
                      <w:szCs w:val="21"/>
                    </w:rPr>
                    <w:t>排放源</w:t>
                  </w:r>
                </w:p>
              </w:tc>
              <w:tc>
                <w:tcPr>
                  <w:tcW w:w="1285" w:type="dxa"/>
                  <w:vAlign w:val="center"/>
                </w:tcPr>
                <w:p>
                  <w:pPr>
                    <w:jc w:val="center"/>
                    <w:rPr>
                      <w:b/>
                      <w:color w:val="000000"/>
                      <w:szCs w:val="21"/>
                    </w:rPr>
                  </w:pPr>
                  <w:r>
                    <w:rPr>
                      <w:b/>
                      <w:color w:val="000000"/>
                      <w:szCs w:val="21"/>
                    </w:rPr>
                    <w:t>固废名称</w:t>
                  </w:r>
                </w:p>
              </w:tc>
              <w:tc>
                <w:tcPr>
                  <w:tcW w:w="1143" w:type="dxa"/>
                  <w:vAlign w:val="center"/>
                </w:tcPr>
                <w:p>
                  <w:pPr>
                    <w:jc w:val="center"/>
                    <w:rPr>
                      <w:b/>
                      <w:color w:val="000000"/>
                      <w:szCs w:val="21"/>
                    </w:rPr>
                  </w:pPr>
                  <w:r>
                    <w:rPr>
                      <w:b/>
                      <w:color w:val="000000"/>
                      <w:szCs w:val="21"/>
                    </w:rPr>
                    <w:t>类别代码</w:t>
                  </w:r>
                </w:p>
              </w:tc>
              <w:tc>
                <w:tcPr>
                  <w:tcW w:w="1000" w:type="dxa"/>
                  <w:tcBorders>
                    <w:bottom w:val="single" w:color="auto" w:sz="4" w:space="0"/>
                  </w:tcBorders>
                  <w:vAlign w:val="center"/>
                </w:tcPr>
                <w:p>
                  <w:pPr>
                    <w:jc w:val="center"/>
                    <w:rPr>
                      <w:b/>
                      <w:color w:val="000000"/>
                      <w:szCs w:val="21"/>
                    </w:rPr>
                  </w:pPr>
                  <w:r>
                    <w:rPr>
                      <w:b/>
                      <w:color w:val="000000"/>
                      <w:szCs w:val="21"/>
                    </w:rPr>
                    <w:t>固废性质</w:t>
                  </w:r>
                </w:p>
              </w:tc>
              <w:tc>
                <w:tcPr>
                  <w:tcW w:w="1143" w:type="dxa"/>
                  <w:vAlign w:val="center"/>
                </w:tcPr>
                <w:p>
                  <w:pPr>
                    <w:jc w:val="center"/>
                    <w:rPr>
                      <w:b/>
                      <w:color w:val="000000"/>
                      <w:szCs w:val="21"/>
                    </w:rPr>
                  </w:pPr>
                  <w:r>
                    <w:rPr>
                      <w:b/>
                      <w:color w:val="000000"/>
                      <w:szCs w:val="21"/>
                    </w:rPr>
                    <w:t>产生量</w:t>
                  </w:r>
                  <w:r>
                    <w:rPr>
                      <w:rFonts w:hint="eastAsia"/>
                      <w:b/>
                      <w:color w:val="000000"/>
                      <w:szCs w:val="21"/>
                    </w:rPr>
                    <w:t>(</w:t>
                  </w:r>
                  <w:r>
                    <w:rPr>
                      <w:b/>
                      <w:color w:val="000000"/>
                      <w:szCs w:val="21"/>
                    </w:rPr>
                    <w:t>t/a</w:t>
                  </w:r>
                  <w:r>
                    <w:rPr>
                      <w:rFonts w:hint="eastAsia"/>
                      <w:b/>
                      <w:color w:val="000000"/>
                      <w:szCs w:val="21"/>
                    </w:rPr>
                    <w:t>)</w:t>
                  </w:r>
                </w:p>
              </w:tc>
              <w:tc>
                <w:tcPr>
                  <w:tcW w:w="1663" w:type="dxa"/>
                  <w:vAlign w:val="center"/>
                </w:tcPr>
                <w:p>
                  <w:pPr>
                    <w:jc w:val="center"/>
                    <w:rPr>
                      <w:b/>
                      <w:color w:val="000000"/>
                      <w:szCs w:val="21"/>
                    </w:rPr>
                  </w:pPr>
                  <w:r>
                    <w:rPr>
                      <w:b/>
                      <w:color w:val="000000"/>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pStyle w:val="39"/>
                    <w:rPr>
                      <w:color w:val="000000"/>
                      <w:lang w:val="en-US"/>
                    </w:rPr>
                  </w:pPr>
                  <w:r>
                    <w:rPr>
                      <w:rFonts w:hint="eastAsia"/>
                      <w:color w:val="000000"/>
                      <w:lang w:val="en-US"/>
                    </w:rPr>
                    <w:t>袋装原料使用、内包装工序</w:t>
                  </w:r>
                </w:p>
              </w:tc>
              <w:tc>
                <w:tcPr>
                  <w:tcW w:w="1285" w:type="dxa"/>
                  <w:vAlign w:val="center"/>
                </w:tcPr>
                <w:p>
                  <w:pPr>
                    <w:pStyle w:val="39"/>
                    <w:rPr>
                      <w:color w:val="000000"/>
                      <w:lang w:val="en-US"/>
                    </w:rPr>
                  </w:pPr>
                  <w:r>
                    <w:rPr>
                      <w:rFonts w:hint="eastAsia"/>
                      <w:color w:val="000000"/>
                      <w:lang w:val="en-US"/>
                    </w:rPr>
                    <w:t>废包装袋</w:t>
                  </w:r>
                </w:p>
              </w:tc>
              <w:tc>
                <w:tcPr>
                  <w:tcW w:w="1143" w:type="dxa"/>
                  <w:vAlign w:val="center"/>
                </w:tcPr>
                <w:p>
                  <w:pPr>
                    <w:jc w:val="center"/>
                    <w:rPr>
                      <w:color w:val="000000"/>
                      <w:szCs w:val="21"/>
                    </w:rPr>
                  </w:pPr>
                  <w:r>
                    <w:rPr>
                      <w:color w:val="000000"/>
                      <w:szCs w:val="21"/>
                    </w:rPr>
                    <w:t>277-001-07</w:t>
                  </w:r>
                </w:p>
              </w:tc>
              <w:tc>
                <w:tcPr>
                  <w:tcW w:w="1000" w:type="dxa"/>
                  <w:tcBorders>
                    <w:top w:val="single" w:color="auto" w:sz="4" w:space="0"/>
                    <w:bottom w:val="single" w:color="auto" w:sz="4" w:space="0"/>
                  </w:tcBorders>
                  <w:vAlign w:val="center"/>
                </w:tcPr>
                <w:p>
                  <w:pPr>
                    <w:jc w:val="center"/>
                    <w:rPr>
                      <w:color w:val="000000"/>
                      <w:szCs w:val="21"/>
                    </w:rPr>
                  </w:pPr>
                  <w:r>
                    <w:rPr>
                      <w:color w:val="000000"/>
                      <w:szCs w:val="21"/>
                    </w:rPr>
                    <w:t>一般固废</w:t>
                  </w:r>
                </w:p>
              </w:tc>
              <w:tc>
                <w:tcPr>
                  <w:tcW w:w="1143" w:type="dxa"/>
                  <w:vAlign w:val="center"/>
                </w:tcPr>
                <w:p>
                  <w:pPr>
                    <w:jc w:val="center"/>
                    <w:rPr>
                      <w:color w:val="000000"/>
                      <w:szCs w:val="21"/>
                    </w:rPr>
                  </w:pPr>
                  <w:r>
                    <w:rPr>
                      <w:color w:val="000000"/>
                      <w:szCs w:val="21"/>
                    </w:rPr>
                    <w:t>0.0218</w:t>
                  </w:r>
                </w:p>
              </w:tc>
              <w:tc>
                <w:tcPr>
                  <w:tcW w:w="1663" w:type="dxa"/>
                  <w:vMerge w:val="restart"/>
                  <w:vAlign w:val="center"/>
                </w:tcPr>
                <w:p>
                  <w:pPr>
                    <w:pStyle w:val="39"/>
                    <w:rPr>
                      <w:color w:val="000000"/>
                      <w:lang w:val="en-US"/>
                    </w:rPr>
                  </w:pPr>
                  <w:r>
                    <w:rPr>
                      <w:color w:val="000000"/>
                      <w:lang w:val="en-US"/>
                    </w:rPr>
                    <w:t>收集至一般固废暂存间暂存后，</w:t>
                  </w:r>
                  <w:r>
                    <w:rPr>
                      <w:rFonts w:hint="eastAsia"/>
                      <w:color w:val="000000"/>
                      <w:lang w:val="en-US"/>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pStyle w:val="39"/>
                    <w:rPr>
                      <w:color w:val="000000"/>
                      <w:lang w:val="en-US"/>
                    </w:rPr>
                  </w:pPr>
                  <w:r>
                    <w:rPr>
                      <w:rFonts w:hint="eastAsia"/>
                      <w:color w:val="000000"/>
                      <w:lang w:val="en-US"/>
                    </w:rPr>
                    <w:t>切片工序</w:t>
                  </w:r>
                </w:p>
              </w:tc>
              <w:tc>
                <w:tcPr>
                  <w:tcW w:w="1285" w:type="dxa"/>
                  <w:vAlign w:val="center"/>
                </w:tcPr>
                <w:p>
                  <w:pPr>
                    <w:pStyle w:val="39"/>
                    <w:rPr>
                      <w:color w:val="000000"/>
                      <w:lang w:val="en-US"/>
                    </w:rPr>
                  </w:pPr>
                  <w:r>
                    <w:rPr>
                      <w:rFonts w:hint="eastAsia"/>
                      <w:color w:val="000000"/>
                      <w:lang w:val="en-US"/>
                    </w:rPr>
                    <w:t>不合格面罩</w:t>
                  </w:r>
                </w:p>
              </w:tc>
              <w:tc>
                <w:tcPr>
                  <w:tcW w:w="1143" w:type="dxa"/>
                  <w:vAlign w:val="center"/>
                </w:tcPr>
                <w:p>
                  <w:pPr>
                    <w:jc w:val="center"/>
                    <w:rPr>
                      <w:color w:val="000000"/>
                      <w:szCs w:val="21"/>
                    </w:rPr>
                  </w:pPr>
                  <w:r>
                    <w:rPr>
                      <w:color w:val="000000"/>
                      <w:szCs w:val="21"/>
                    </w:rPr>
                    <w:t>277-001-06</w:t>
                  </w:r>
                </w:p>
              </w:tc>
              <w:tc>
                <w:tcPr>
                  <w:tcW w:w="1000" w:type="dxa"/>
                  <w:tcBorders>
                    <w:top w:val="single" w:color="auto" w:sz="4" w:space="0"/>
                    <w:bottom w:val="single" w:color="auto" w:sz="4" w:space="0"/>
                  </w:tcBorders>
                  <w:vAlign w:val="center"/>
                </w:tcPr>
                <w:p>
                  <w:pPr>
                    <w:jc w:val="center"/>
                    <w:rPr>
                      <w:color w:val="000000"/>
                      <w:szCs w:val="21"/>
                    </w:rPr>
                  </w:pPr>
                  <w:r>
                    <w:rPr>
                      <w:color w:val="000000"/>
                      <w:szCs w:val="21"/>
                    </w:rPr>
                    <w:t>一般固废</w:t>
                  </w:r>
                </w:p>
              </w:tc>
              <w:tc>
                <w:tcPr>
                  <w:tcW w:w="1143" w:type="dxa"/>
                  <w:vAlign w:val="center"/>
                </w:tcPr>
                <w:p>
                  <w:pPr>
                    <w:jc w:val="center"/>
                    <w:rPr>
                      <w:color w:val="000000"/>
                      <w:szCs w:val="21"/>
                    </w:rPr>
                  </w:pPr>
                  <w:r>
                    <w:rPr>
                      <w:rFonts w:hint="eastAsia"/>
                      <w:color w:val="000000"/>
                      <w:szCs w:val="21"/>
                    </w:rPr>
                    <w:t>0</w:t>
                  </w:r>
                  <w:r>
                    <w:rPr>
                      <w:color w:val="000000"/>
                      <w:szCs w:val="21"/>
                    </w:rPr>
                    <w:t>.21</w:t>
                  </w:r>
                </w:p>
              </w:tc>
              <w:tc>
                <w:tcPr>
                  <w:tcW w:w="1663" w:type="dxa"/>
                  <w:vMerge w:val="continue"/>
                  <w:vAlign w:val="center"/>
                </w:tcPr>
                <w:p>
                  <w:pPr>
                    <w:pStyle w:val="39"/>
                    <w:rPr>
                      <w:color w:val="000000"/>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pStyle w:val="39"/>
                    <w:rPr>
                      <w:color w:val="000000"/>
                      <w:lang w:val="en-US"/>
                    </w:rPr>
                  </w:pPr>
                  <w:r>
                    <w:rPr>
                      <w:rFonts w:hint="eastAsia"/>
                      <w:color w:val="000000"/>
                      <w:lang w:val="en-US"/>
                    </w:rPr>
                    <w:t>成品检验工序</w:t>
                  </w:r>
                </w:p>
              </w:tc>
              <w:tc>
                <w:tcPr>
                  <w:tcW w:w="1285" w:type="dxa"/>
                  <w:vAlign w:val="center"/>
                </w:tcPr>
                <w:p>
                  <w:pPr>
                    <w:pStyle w:val="39"/>
                    <w:rPr>
                      <w:color w:val="000000"/>
                      <w:lang w:val="en-US"/>
                    </w:rPr>
                  </w:pPr>
                  <w:r>
                    <w:rPr>
                      <w:rFonts w:hint="eastAsia"/>
                      <w:color w:val="000000"/>
                      <w:lang w:val="en-US"/>
                    </w:rPr>
                    <w:t>废</w:t>
                  </w:r>
                  <w:r>
                    <w:rPr>
                      <w:color w:val="000000"/>
                      <w:lang w:val="en-US"/>
                    </w:rPr>
                    <w:t>面料</w:t>
                  </w:r>
                </w:p>
              </w:tc>
              <w:tc>
                <w:tcPr>
                  <w:tcW w:w="1143" w:type="dxa"/>
                  <w:vAlign w:val="center"/>
                </w:tcPr>
                <w:p>
                  <w:pPr>
                    <w:jc w:val="center"/>
                    <w:rPr>
                      <w:color w:val="000000"/>
                      <w:szCs w:val="21"/>
                    </w:rPr>
                  </w:pPr>
                  <w:r>
                    <w:rPr>
                      <w:color w:val="000000"/>
                      <w:szCs w:val="21"/>
                    </w:rPr>
                    <w:t>277-001-06</w:t>
                  </w:r>
                </w:p>
              </w:tc>
              <w:tc>
                <w:tcPr>
                  <w:tcW w:w="1000" w:type="dxa"/>
                  <w:tcBorders>
                    <w:top w:val="single" w:color="auto" w:sz="4" w:space="0"/>
                    <w:bottom w:val="single" w:color="auto" w:sz="4" w:space="0"/>
                  </w:tcBorders>
                  <w:vAlign w:val="center"/>
                </w:tcPr>
                <w:p>
                  <w:pPr>
                    <w:jc w:val="center"/>
                    <w:rPr>
                      <w:color w:val="000000"/>
                      <w:szCs w:val="21"/>
                    </w:rPr>
                  </w:pPr>
                  <w:r>
                    <w:rPr>
                      <w:color w:val="000000"/>
                      <w:szCs w:val="21"/>
                    </w:rPr>
                    <w:t>一般固废</w:t>
                  </w:r>
                </w:p>
              </w:tc>
              <w:tc>
                <w:tcPr>
                  <w:tcW w:w="1143" w:type="dxa"/>
                  <w:vAlign w:val="center"/>
                </w:tcPr>
                <w:p>
                  <w:pPr>
                    <w:jc w:val="center"/>
                    <w:rPr>
                      <w:color w:val="000000"/>
                      <w:szCs w:val="21"/>
                    </w:rPr>
                  </w:pPr>
                  <w:r>
                    <w:rPr>
                      <w:rFonts w:hint="eastAsia"/>
                      <w:color w:val="000000"/>
                      <w:szCs w:val="21"/>
                    </w:rPr>
                    <w:t>0</w:t>
                  </w:r>
                  <w:r>
                    <w:rPr>
                      <w:color w:val="000000"/>
                      <w:szCs w:val="21"/>
                    </w:rPr>
                    <w:t>.218</w:t>
                  </w:r>
                </w:p>
              </w:tc>
              <w:tc>
                <w:tcPr>
                  <w:tcW w:w="1663" w:type="dxa"/>
                  <w:vMerge w:val="continue"/>
                  <w:vAlign w:val="center"/>
                </w:tcPr>
                <w:p>
                  <w:pPr>
                    <w:pStyle w:val="39"/>
                    <w:rPr>
                      <w:color w:val="000000"/>
                      <w:lang w:val="en-US"/>
                    </w:rPr>
                  </w:pPr>
                </w:p>
              </w:tc>
            </w:tr>
          </w:tbl>
          <w:p>
            <w:pPr>
              <w:spacing w:line="460" w:lineRule="exact"/>
              <w:ind w:firstLine="480" w:firstLineChars="200"/>
              <w:rPr>
                <w:rFonts w:eastAsia="黑体"/>
                <w:color w:val="000000"/>
                <w:sz w:val="24"/>
              </w:rPr>
            </w:pPr>
            <w:r>
              <w:rPr>
                <w:rFonts w:eastAsia="黑体"/>
                <w:color w:val="000000"/>
                <w:sz w:val="24"/>
              </w:rPr>
              <w:t>表42                  危险废物汇总表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2"/>
              <w:gridCol w:w="567"/>
              <w:gridCol w:w="709"/>
              <w:gridCol w:w="556"/>
              <w:gridCol w:w="714"/>
              <w:gridCol w:w="714"/>
              <w:gridCol w:w="571"/>
              <w:gridCol w:w="571"/>
              <w:gridCol w:w="571"/>
              <w:gridCol w:w="571"/>
              <w:gridCol w:w="571"/>
              <w:gridCol w:w="15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top w:val="single" w:color="auto" w:sz="8" w:space="0"/>
                    <w:left w:val="nil"/>
                  </w:tcBorders>
                  <w:vAlign w:val="center"/>
                </w:tcPr>
                <w:p>
                  <w:pPr>
                    <w:topLinePunct/>
                    <w:adjustRightInd w:val="0"/>
                    <w:snapToGrid w:val="0"/>
                    <w:jc w:val="center"/>
                    <w:rPr>
                      <w:b/>
                      <w:color w:val="000000"/>
                      <w:szCs w:val="21"/>
                    </w:rPr>
                  </w:pPr>
                  <w:r>
                    <w:rPr>
                      <w:b/>
                      <w:color w:val="000000"/>
                      <w:szCs w:val="21"/>
                    </w:rPr>
                    <w:t>序号</w:t>
                  </w:r>
                </w:p>
              </w:tc>
              <w:tc>
                <w:tcPr>
                  <w:tcW w:w="567"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危险废物名称</w:t>
                  </w:r>
                </w:p>
              </w:tc>
              <w:tc>
                <w:tcPr>
                  <w:tcW w:w="709"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危险废物类别</w:t>
                  </w:r>
                </w:p>
              </w:tc>
              <w:tc>
                <w:tcPr>
                  <w:tcW w:w="556"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危险废物代码</w:t>
                  </w:r>
                </w:p>
              </w:tc>
              <w:tc>
                <w:tcPr>
                  <w:tcW w:w="714" w:type="dxa"/>
                  <w:tcBorders>
                    <w:top w:val="single" w:color="auto" w:sz="8" w:space="0"/>
                  </w:tcBorders>
                  <w:vAlign w:val="center"/>
                </w:tcPr>
                <w:p>
                  <w:pPr>
                    <w:topLinePunct/>
                    <w:adjustRightInd w:val="0"/>
                    <w:snapToGrid w:val="0"/>
                    <w:jc w:val="center"/>
                    <w:rPr>
                      <w:b/>
                      <w:color w:val="000000"/>
                      <w:szCs w:val="21"/>
                    </w:rPr>
                  </w:pPr>
                  <w:r>
                    <w:rPr>
                      <w:b/>
                      <w:color w:val="000000"/>
                      <w:szCs w:val="21"/>
                    </w:rPr>
                    <w:t>产生量</w:t>
                  </w:r>
                  <w:r>
                    <w:rPr>
                      <w:rFonts w:hint="eastAsia"/>
                      <w:b/>
                      <w:color w:val="000000"/>
                      <w:szCs w:val="21"/>
                    </w:rPr>
                    <w:t>(t</w:t>
                  </w:r>
                  <w:r>
                    <w:rPr>
                      <w:b/>
                      <w:color w:val="000000"/>
                      <w:szCs w:val="21"/>
                    </w:rPr>
                    <w:t>/a</w:t>
                  </w:r>
                  <w:r>
                    <w:rPr>
                      <w:rFonts w:hint="eastAsia"/>
                      <w:b/>
                      <w:color w:val="000000"/>
                      <w:szCs w:val="21"/>
                    </w:rPr>
                    <w:t>)</w:t>
                  </w:r>
                </w:p>
              </w:tc>
              <w:tc>
                <w:tcPr>
                  <w:tcW w:w="714" w:type="dxa"/>
                  <w:tcBorders>
                    <w:top w:val="single" w:color="auto" w:sz="8" w:space="0"/>
                  </w:tcBorders>
                  <w:vAlign w:val="center"/>
                </w:tcPr>
                <w:p>
                  <w:pPr>
                    <w:topLinePunct/>
                    <w:adjustRightInd w:val="0"/>
                    <w:snapToGrid w:val="0"/>
                    <w:jc w:val="center"/>
                    <w:rPr>
                      <w:b/>
                      <w:color w:val="000000"/>
                      <w:szCs w:val="21"/>
                    </w:rPr>
                  </w:pPr>
                  <w:r>
                    <w:rPr>
                      <w:b/>
                      <w:color w:val="000000"/>
                      <w:szCs w:val="21"/>
                    </w:rPr>
                    <w:t>产生工序及装置</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形态</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主要成分</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有害成分</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产废周期</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危险</w:t>
                  </w:r>
                </w:p>
                <w:p>
                  <w:pPr>
                    <w:topLinePunct/>
                    <w:adjustRightInd w:val="0"/>
                    <w:snapToGrid w:val="0"/>
                    <w:jc w:val="center"/>
                    <w:rPr>
                      <w:b/>
                      <w:color w:val="000000"/>
                      <w:szCs w:val="21"/>
                    </w:rPr>
                  </w:pPr>
                  <w:r>
                    <w:rPr>
                      <w:b/>
                      <w:color w:val="000000"/>
                      <w:szCs w:val="21"/>
                    </w:rPr>
                    <w:t>特性</w:t>
                  </w:r>
                </w:p>
              </w:tc>
              <w:tc>
                <w:tcPr>
                  <w:tcW w:w="1519" w:type="dxa"/>
                  <w:tcBorders>
                    <w:top w:val="single" w:color="auto" w:sz="8" w:space="0"/>
                    <w:right w:val="nil"/>
                  </w:tcBorders>
                  <w:vAlign w:val="center"/>
                </w:tcPr>
                <w:p>
                  <w:pPr>
                    <w:topLinePunct/>
                    <w:adjustRightInd w:val="0"/>
                    <w:snapToGrid w:val="0"/>
                    <w:jc w:val="center"/>
                    <w:rPr>
                      <w:b/>
                      <w:color w:val="000000"/>
                      <w:szCs w:val="21"/>
                    </w:rPr>
                  </w:pPr>
                  <w:r>
                    <w:rPr>
                      <w:b/>
                      <w:color w:val="000000"/>
                      <w:szCs w:val="21"/>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left w:val="nil"/>
                  </w:tcBorders>
                  <w:vAlign w:val="center"/>
                </w:tcPr>
                <w:p>
                  <w:pPr>
                    <w:topLinePunct/>
                    <w:adjustRightInd w:val="0"/>
                    <w:snapToGrid w:val="0"/>
                    <w:jc w:val="center"/>
                    <w:rPr>
                      <w:color w:val="000000"/>
                      <w:szCs w:val="21"/>
                    </w:rPr>
                  </w:pPr>
                  <w:r>
                    <w:rPr>
                      <w:color w:val="000000"/>
                      <w:szCs w:val="21"/>
                    </w:rPr>
                    <w:t>1</w:t>
                  </w:r>
                </w:p>
              </w:tc>
              <w:tc>
                <w:tcPr>
                  <w:tcW w:w="567" w:type="dxa"/>
                  <w:vAlign w:val="center"/>
                </w:tcPr>
                <w:p>
                  <w:pPr>
                    <w:pStyle w:val="39"/>
                    <w:rPr>
                      <w:color w:val="000000"/>
                      <w:lang w:val="en-US"/>
                    </w:rPr>
                  </w:pPr>
                  <w:r>
                    <w:rPr>
                      <w:rFonts w:hint="eastAsia"/>
                      <w:color w:val="000000"/>
                      <w:lang w:val="en-US"/>
                    </w:rPr>
                    <w:t>废环氧乙烷吸收液</w:t>
                  </w:r>
                </w:p>
              </w:tc>
              <w:tc>
                <w:tcPr>
                  <w:tcW w:w="709" w:type="dxa"/>
                  <w:vAlign w:val="center"/>
                </w:tcPr>
                <w:p>
                  <w:pPr>
                    <w:topLinePunct/>
                    <w:autoSpaceDE w:val="0"/>
                    <w:autoSpaceDN w:val="0"/>
                    <w:adjustRightInd w:val="0"/>
                    <w:snapToGrid w:val="0"/>
                    <w:jc w:val="center"/>
                    <w:textAlignment w:val="baseline"/>
                    <w:rPr>
                      <w:color w:val="000000"/>
                      <w:szCs w:val="21"/>
                    </w:rPr>
                  </w:pPr>
                  <w:r>
                    <w:rPr>
                      <w:color w:val="000000"/>
                      <w:szCs w:val="21"/>
                    </w:rPr>
                    <w:t>HW06</w:t>
                  </w:r>
                  <w:r>
                    <w:rPr>
                      <w:rFonts w:hint="eastAsia"/>
                      <w:color w:val="000000"/>
                      <w:szCs w:val="21"/>
                    </w:rPr>
                    <w:t>废有机溶剂与含有机溶剂废物</w:t>
                  </w:r>
                </w:p>
              </w:tc>
              <w:tc>
                <w:tcPr>
                  <w:tcW w:w="556" w:type="dxa"/>
                  <w:vAlign w:val="center"/>
                </w:tcPr>
                <w:p>
                  <w:pPr>
                    <w:topLinePunct/>
                    <w:autoSpaceDE w:val="0"/>
                    <w:autoSpaceDN w:val="0"/>
                    <w:adjustRightInd w:val="0"/>
                    <w:snapToGrid w:val="0"/>
                    <w:jc w:val="center"/>
                    <w:textAlignment w:val="baseline"/>
                    <w:rPr>
                      <w:color w:val="000000"/>
                      <w:szCs w:val="21"/>
                    </w:rPr>
                  </w:pPr>
                  <w:r>
                    <w:rPr>
                      <w:color w:val="000000"/>
                      <w:szCs w:val="21"/>
                    </w:rPr>
                    <w:t>900-404-06</w:t>
                  </w:r>
                </w:p>
              </w:tc>
              <w:tc>
                <w:tcPr>
                  <w:tcW w:w="714" w:type="dxa"/>
                  <w:vAlign w:val="center"/>
                </w:tcPr>
                <w:p>
                  <w:pPr>
                    <w:jc w:val="center"/>
                    <w:rPr>
                      <w:color w:val="000000"/>
                      <w:szCs w:val="21"/>
                    </w:rPr>
                  </w:pPr>
                  <w:r>
                    <w:rPr>
                      <w:color w:val="000000"/>
                      <w:szCs w:val="21"/>
                    </w:rPr>
                    <w:t>1.5</w:t>
                  </w:r>
                </w:p>
              </w:tc>
              <w:tc>
                <w:tcPr>
                  <w:tcW w:w="714"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水喷淋装置</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bCs/>
                      <w:color w:val="000000"/>
                      <w:szCs w:val="21"/>
                    </w:rPr>
                    <w:t>液态</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szCs w:val="21"/>
                    </w:rPr>
                    <w:t>有机物</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szCs w:val="21"/>
                    </w:rPr>
                    <w:t>有机物</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5</w:t>
                  </w:r>
                  <w:r>
                    <w:rPr>
                      <w:color w:val="000000"/>
                      <w:szCs w:val="21"/>
                    </w:rPr>
                    <w:t>0</w:t>
                  </w:r>
                  <w:r>
                    <w:rPr>
                      <w:rFonts w:hint="eastAsia"/>
                      <w:color w:val="000000"/>
                      <w:szCs w:val="21"/>
                    </w:rPr>
                    <w:t>天</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bCs/>
                      <w:color w:val="000000"/>
                      <w:szCs w:val="21"/>
                    </w:rPr>
                    <w:t>T、I</w:t>
                  </w:r>
                </w:p>
              </w:tc>
              <w:tc>
                <w:tcPr>
                  <w:tcW w:w="1519" w:type="dxa"/>
                  <w:tcBorders>
                    <w:right w:val="nil"/>
                  </w:tcBorders>
                  <w:vAlign w:val="center"/>
                </w:tcPr>
                <w:p>
                  <w:pPr>
                    <w:jc w:val="center"/>
                    <w:rPr>
                      <w:color w:val="000000"/>
                      <w:szCs w:val="21"/>
                    </w:rPr>
                  </w:pPr>
                  <w:r>
                    <w:rPr>
                      <w:color w:val="000000"/>
                      <w:szCs w:val="21"/>
                    </w:rPr>
                    <w:t>密闭</w:t>
                  </w:r>
                  <w:r>
                    <w:rPr>
                      <w:rFonts w:hint="eastAsia"/>
                      <w:color w:val="000000"/>
                      <w:szCs w:val="21"/>
                    </w:rPr>
                    <w:t>容器</w:t>
                  </w:r>
                  <w:r>
                    <w:rPr>
                      <w:color w:val="000000"/>
                      <w:szCs w:val="21"/>
                    </w:rPr>
                    <w:t>收集、危废暂存间暂存，定期委托有相应资质的危废处理单位进行安全处置</w:t>
                  </w:r>
                </w:p>
              </w:tc>
            </w:tr>
          </w:tbl>
          <w:p>
            <w:pPr>
              <w:autoSpaceDE w:val="0"/>
              <w:autoSpaceDN w:val="0"/>
              <w:adjustRightInd w:val="0"/>
              <w:snapToGrid w:val="0"/>
              <w:spacing w:line="460" w:lineRule="exact"/>
              <w:ind w:firstLine="480" w:firstLineChars="200"/>
              <w:textAlignment w:val="baseline"/>
              <w:rPr>
                <w:color w:val="000000"/>
                <w:sz w:val="24"/>
              </w:rPr>
            </w:pPr>
            <w:r>
              <w:rPr>
                <w:rFonts w:eastAsia="黑体"/>
                <w:color w:val="000000"/>
                <w:sz w:val="24"/>
              </w:rPr>
              <w:t>表</w:t>
            </w:r>
            <w:r>
              <w:rPr>
                <w:rFonts w:hint="eastAsia" w:eastAsia="黑体"/>
                <w:color w:val="000000"/>
                <w:sz w:val="24"/>
              </w:rPr>
              <w:t>4</w:t>
            </w:r>
            <w:r>
              <w:rPr>
                <w:rFonts w:eastAsia="黑体"/>
                <w:color w:val="000000"/>
                <w:sz w:val="24"/>
              </w:rPr>
              <w:t>3       建设项目危险废物贮存场所（设施）基本情况表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93"/>
              <w:gridCol w:w="1134"/>
              <w:gridCol w:w="992"/>
              <w:gridCol w:w="1559"/>
              <w:gridCol w:w="1134"/>
              <w:gridCol w:w="567"/>
              <w:gridCol w:w="709"/>
              <w:gridCol w:w="567"/>
              <w:gridCol w:w="69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pPr>
                    <w:topLinePunct/>
                    <w:autoSpaceDE w:val="0"/>
                    <w:autoSpaceDN w:val="0"/>
                    <w:adjustRightInd w:val="0"/>
                    <w:snapToGrid w:val="0"/>
                    <w:jc w:val="center"/>
                    <w:textAlignment w:val="baseline"/>
                    <w:rPr>
                      <w:b/>
                      <w:color w:val="000000"/>
                      <w:szCs w:val="21"/>
                    </w:rPr>
                  </w:pPr>
                  <w:r>
                    <w:rPr>
                      <w:b/>
                      <w:color w:val="000000"/>
                      <w:szCs w:val="21"/>
                    </w:rPr>
                    <w:t>序号</w:t>
                  </w:r>
                </w:p>
              </w:tc>
              <w:tc>
                <w:tcPr>
                  <w:tcW w:w="1134" w:type="dxa"/>
                  <w:vAlign w:val="center"/>
                </w:tcPr>
                <w:p>
                  <w:pPr>
                    <w:topLinePunct/>
                    <w:autoSpaceDE w:val="0"/>
                    <w:autoSpaceDN w:val="0"/>
                    <w:adjustRightInd w:val="0"/>
                    <w:snapToGrid w:val="0"/>
                    <w:jc w:val="center"/>
                    <w:textAlignment w:val="baseline"/>
                    <w:rPr>
                      <w:b/>
                      <w:color w:val="000000"/>
                      <w:szCs w:val="21"/>
                    </w:rPr>
                  </w:pPr>
                  <w:r>
                    <w:rPr>
                      <w:b/>
                      <w:color w:val="000000"/>
                      <w:szCs w:val="21"/>
                    </w:rPr>
                    <w:t>贮存场所</w:t>
                  </w:r>
                  <w:r>
                    <w:rPr>
                      <w:rFonts w:hint="eastAsia"/>
                      <w:b/>
                      <w:color w:val="000000"/>
                      <w:szCs w:val="21"/>
                    </w:rPr>
                    <w:t>(</w:t>
                  </w:r>
                  <w:r>
                    <w:rPr>
                      <w:b/>
                      <w:color w:val="000000"/>
                      <w:szCs w:val="21"/>
                    </w:rPr>
                    <w:t>设施</w:t>
                  </w:r>
                  <w:r>
                    <w:rPr>
                      <w:rFonts w:hint="eastAsia"/>
                      <w:b/>
                      <w:color w:val="000000"/>
                      <w:szCs w:val="21"/>
                    </w:rPr>
                    <w:t>)</w:t>
                  </w:r>
                  <w:r>
                    <w:rPr>
                      <w:b/>
                      <w:color w:val="000000"/>
                      <w:szCs w:val="21"/>
                    </w:rPr>
                    <w:t>名称</w:t>
                  </w:r>
                </w:p>
              </w:tc>
              <w:tc>
                <w:tcPr>
                  <w:tcW w:w="992"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危险废物名称</w:t>
                  </w:r>
                </w:p>
              </w:tc>
              <w:tc>
                <w:tcPr>
                  <w:tcW w:w="1559"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危险废物类别</w:t>
                  </w:r>
                </w:p>
              </w:tc>
              <w:tc>
                <w:tcPr>
                  <w:tcW w:w="1134"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危险废物代码</w:t>
                  </w:r>
                </w:p>
              </w:tc>
              <w:tc>
                <w:tcPr>
                  <w:tcW w:w="567" w:type="dxa"/>
                  <w:vAlign w:val="center"/>
                </w:tcPr>
                <w:p>
                  <w:pPr>
                    <w:topLinePunct/>
                    <w:autoSpaceDE w:val="0"/>
                    <w:autoSpaceDN w:val="0"/>
                    <w:adjustRightInd w:val="0"/>
                    <w:snapToGrid w:val="0"/>
                    <w:jc w:val="center"/>
                    <w:textAlignment w:val="baseline"/>
                    <w:rPr>
                      <w:b/>
                      <w:color w:val="000000"/>
                      <w:szCs w:val="21"/>
                    </w:rPr>
                  </w:pPr>
                  <w:r>
                    <w:rPr>
                      <w:b/>
                      <w:color w:val="000000"/>
                      <w:szCs w:val="21"/>
                    </w:rPr>
                    <w:t>位置</w:t>
                  </w:r>
                </w:p>
              </w:tc>
              <w:tc>
                <w:tcPr>
                  <w:tcW w:w="709" w:type="dxa"/>
                  <w:vAlign w:val="center"/>
                </w:tcPr>
                <w:p>
                  <w:pPr>
                    <w:topLinePunct/>
                    <w:autoSpaceDE w:val="0"/>
                    <w:autoSpaceDN w:val="0"/>
                    <w:adjustRightInd w:val="0"/>
                    <w:snapToGrid w:val="0"/>
                    <w:jc w:val="center"/>
                    <w:textAlignment w:val="baseline"/>
                    <w:rPr>
                      <w:b/>
                      <w:color w:val="000000"/>
                      <w:szCs w:val="21"/>
                    </w:rPr>
                  </w:pPr>
                  <w:r>
                    <w:rPr>
                      <w:b/>
                      <w:color w:val="000000"/>
                      <w:szCs w:val="21"/>
                    </w:rPr>
                    <w:t>占地面积</w:t>
                  </w:r>
                </w:p>
              </w:tc>
              <w:tc>
                <w:tcPr>
                  <w:tcW w:w="567" w:type="dxa"/>
                  <w:vAlign w:val="center"/>
                </w:tcPr>
                <w:p>
                  <w:pPr>
                    <w:topLinePunct/>
                    <w:autoSpaceDE w:val="0"/>
                    <w:autoSpaceDN w:val="0"/>
                    <w:adjustRightInd w:val="0"/>
                    <w:snapToGrid w:val="0"/>
                    <w:jc w:val="center"/>
                    <w:textAlignment w:val="baseline"/>
                    <w:rPr>
                      <w:b/>
                      <w:color w:val="000000"/>
                      <w:szCs w:val="21"/>
                    </w:rPr>
                  </w:pPr>
                  <w:r>
                    <w:rPr>
                      <w:b/>
                      <w:color w:val="000000"/>
                      <w:szCs w:val="21"/>
                    </w:rPr>
                    <w:t>贮存方式</w:t>
                  </w:r>
                </w:p>
              </w:tc>
              <w:tc>
                <w:tcPr>
                  <w:tcW w:w="691" w:type="dxa"/>
                  <w:vAlign w:val="center"/>
                </w:tcPr>
                <w:p>
                  <w:pPr>
                    <w:topLinePunct/>
                    <w:autoSpaceDE w:val="0"/>
                    <w:autoSpaceDN w:val="0"/>
                    <w:adjustRightInd w:val="0"/>
                    <w:snapToGrid w:val="0"/>
                    <w:jc w:val="center"/>
                    <w:textAlignment w:val="baseline"/>
                    <w:rPr>
                      <w:b/>
                      <w:color w:val="000000"/>
                      <w:szCs w:val="21"/>
                    </w:rPr>
                  </w:pPr>
                  <w:r>
                    <w:rPr>
                      <w:b/>
                      <w:color w:val="000000"/>
                      <w:szCs w:val="21"/>
                    </w:rPr>
                    <w:t>贮存周期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pPr>
                    <w:topLinePunct/>
                    <w:autoSpaceDE w:val="0"/>
                    <w:autoSpaceDN w:val="0"/>
                    <w:adjustRightInd w:val="0"/>
                    <w:snapToGrid w:val="0"/>
                    <w:jc w:val="center"/>
                    <w:textAlignment w:val="baseline"/>
                    <w:rPr>
                      <w:color w:val="000000"/>
                      <w:szCs w:val="21"/>
                    </w:rPr>
                  </w:pPr>
                  <w:r>
                    <w:rPr>
                      <w:color w:val="000000"/>
                      <w:szCs w:val="21"/>
                    </w:rPr>
                    <w:t>1</w:t>
                  </w:r>
                </w:p>
              </w:tc>
              <w:tc>
                <w:tcPr>
                  <w:tcW w:w="1134" w:type="dxa"/>
                  <w:vAlign w:val="center"/>
                </w:tcPr>
                <w:p>
                  <w:pPr>
                    <w:topLinePunct/>
                    <w:autoSpaceDE w:val="0"/>
                    <w:autoSpaceDN w:val="0"/>
                    <w:adjustRightInd w:val="0"/>
                    <w:snapToGrid w:val="0"/>
                    <w:jc w:val="center"/>
                    <w:textAlignment w:val="baseline"/>
                    <w:rPr>
                      <w:color w:val="000000"/>
                      <w:szCs w:val="21"/>
                    </w:rPr>
                  </w:pPr>
                  <w:r>
                    <w:rPr>
                      <w:color w:val="000000"/>
                      <w:szCs w:val="21"/>
                    </w:rPr>
                    <w:t>危废暂存间</w:t>
                  </w:r>
                </w:p>
              </w:tc>
              <w:tc>
                <w:tcPr>
                  <w:tcW w:w="992" w:type="dxa"/>
                  <w:vAlign w:val="center"/>
                </w:tcPr>
                <w:p>
                  <w:pPr>
                    <w:pStyle w:val="39"/>
                    <w:rPr>
                      <w:color w:val="000000"/>
                      <w:lang w:val="en-US"/>
                    </w:rPr>
                  </w:pPr>
                  <w:r>
                    <w:rPr>
                      <w:rFonts w:hint="eastAsia"/>
                      <w:color w:val="000000"/>
                      <w:lang w:val="en-US"/>
                    </w:rPr>
                    <w:t>废环氧乙烷吸收液</w:t>
                  </w:r>
                </w:p>
              </w:tc>
              <w:tc>
                <w:tcPr>
                  <w:tcW w:w="1559" w:type="dxa"/>
                  <w:vAlign w:val="center"/>
                </w:tcPr>
                <w:p>
                  <w:pPr>
                    <w:topLinePunct/>
                    <w:autoSpaceDE w:val="0"/>
                    <w:autoSpaceDN w:val="0"/>
                    <w:adjustRightInd w:val="0"/>
                    <w:snapToGrid w:val="0"/>
                    <w:jc w:val="center"/>
                    <w:textAlignment w:val="baseline"/>
                    <w:rPr>
                      <w:color w:val="000000"/>
                      <w:szCs w:val="21"/>
                    </w:rPr>
                  </w:pPr>
                  <w:r>
                    <w:rPr>
                      <w:color w:val="000000"/>
                      <w:szCs w:val="21"/>
                    </w:rPr>
                    <w:t>HW06</w:t>
                  </w:r>
                  <w:r>
                    <w:rPr>
                      <w:rFonts w:hint="eastAsia"/>
                      <w:color w:val="000000"/>
                      <w:szCs w:val="21"/>
                    </w:rPr>
                    <w:t>废有机溶剂与含有机溶剂废物</w:t>
                  </w:r>
                </w:p>
              </w:tc>
              <w:tc>
                <w:tcPr>
                  <w:tcW w:w="1134" w:type="dxa"/>
                  <w:vAlign w:val="center"/>
                </w:tcPr>
                <w:p>
                  <w:pPr>
                    <w:topLinePunct/>
                    <w:autoSpaceDE w:val="0"/>
                    <w:autoSpaceDN w:val="0"/>
                    <w:adjustRightInd w:val="0"/>
                    <w:snapToGrid w:val="0"/>
                    <w:jc w:val="center"/>
                    <w:textAlignment w:val="baseline"/>
                    <w:rPr>
                      <w:color w:val="000000"/>
                      <w:szCs w:val="21"/>
                    </w:rPr>
                  </w:pPr>
                  <w:r>
                    <w:rPr>
                      <w:color w:val="000000"/>
                      <w:szCs w:val="21"/>
                    </w:rPr>
                    <w:t>900-404-06</w:t>
                  </w:r>
                </w:p>
              </w:tc>
              <w:tc>
                <w:tcPr>
                  <w:tcW w:w="567" w:type="dxa"/>
                  <w:vAlign w:val="center"/>
                </w:tcPr>
                <w:p>
                  <w:pPr>
                    <w:topLinePunct/>
                    <w:autoSpaceDE w:val="0"/>
                    <w:autoSpaceDN w:val="0"/>
                    <w:adjustRightInd w:val="0"/>
                    <w:snapToGrid w:val="0"/>
                    <w:jc w:val="center"/>
                    <w:textAlignment w:val="baseline"/>
                    <w:rPr>
                      <w:color w:val="000000"/>
                      <w:szCs w:val="21"/>
                      <w:highlight w:val="yellow"/>
                    </w:rPr>
                  </w:pPr>
                  <w:r>
                    <w:rPr>
                      <w:color w:val="000000"/>
                      <w:szCs w:val="21"/>
                    </w:rPr>
                    <w:t>厂区内</w:t>
                  </w:r>
                </w:p>
              </w:tc>
              <w:tc>
                <w:tcPr>
                  <w:tcW w:w="709"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不小于5</w:t>
                  </w:r>
                  <w:r>
                    <w:rPr>
                      <w:color w:val="000000"/>
                      <w:szCs w:val="21"/>
                    </w:rPr>
                    <w:t>m</w:t>
                  </w:r>
                  <w:r>
                    <w:rPr>
                      <w:color w:val="000000"/>
                      <w:szCs w:val="21"/>
                      <w:vertAlign w:val="superscript"/>
                    </w:rPr>
                    <w:t>2</w:t>
                  </w:r>
                </w:p>
              </w:tc>
              <w:tc>
                <w:tcPr>
                  <w:tcW w:w="567" w:type="dxa"/>
                  <w:vAlign w:val="center"/>
                </w:tcPr>
                <w:p>
                  <w:pPr>
                    <w:topLinePunct/>
                    <w:autoSpaceDE w:val="0"/>
                    <w:autoSpaceDN w:val="0"/>
                    <w:adjustRightInd w:val="0"/>
                    <w:snapToGrid w:val="0"/>
                    <w:jc w:val="center"/>
                    <w:textAlignment w:val="baseline"/>
                    <w:rPr>
                      <w:color w:val="000000"/>
                      <w:szCs w:val="21"/>
                    </w:rPr>
                  </w:pPr>
                  <w:r>
                    <w:rPr>
                      <w:color w:val="000000"/>
                      <w:szCs w:val="21"/>
                    </w:rPr>
                    <w:t>桶装</w:t>
                  </w:r>
                </w:p>
              </w:tc>
              <w:tc>
                <w:tcPr>
                  <w:tcW w:w="691" w:type="dxa"/>
                  <w:vAlign w:val="center"/>
                </w:tcPr>
                <w:p>
                  <w:pPr>
                    <w:topLinePunct/>
                    <w:autoSpaceDE w:val="0"/>
                    <w:autoSpaceDN w:val="0"/>
                    <w:adjustRightInd w:val="0"/>
                    <w:snapToGrid w:val="0"/>
                    <w:jc w:val="center"/>
                    <w:textAlignment w:val="baseline"/>
                    <w:rPr>
                      <w:color w:val="000000"/>
                      <w:szCs w:val="21"/>
                    </w:rPr>
                  </w:pPr>
                  <w:r>
                    <w:rPr>
                      <w:color w:val="000000"/>
                      <w:szCs w:val="21"/>
                    </w:rPr>
                    <w:t>1年</w:t>
                  </w:r>
                </w:p>
              </w:tc>
            </w:tr>
          </w:tbl>
          <w:p>
            <w:pPr>
              <w:autoSpaceDE w:val="0"/>
              <w:autoSpaceDN w:val="0"/>
              <w:adjustRightInd w:val="0"/>
              <w:snapToGrid w:val="0"/>
              <w:spacing w:line="460" w:lineRule="exact"/>
              <w:ind w:firstLine="482" w:firstLineChars="200"/>
              <w:textAlignment w:val="baseline"/>
              <w:rPr>
                <w:b/>
                <w:color w:val="000000"/>
                <w:sz w:val="24"/>
              </w:rPr>
            </w:pPr>
            <w:r>
              <w:rPr>
                <w:b/>
                <w:color w:val="000000"/>
                <w:sz w:val="24"/>
              </w:rPr>
              <w:t>3、固废处理措施</w:t>
            </w:r>
            <w:r>
              <w:rPr>
                <w:rFonts w:hint="eastAsia"/>
                <w:b/>
                <w:color w:val="000000"/>
                <w:sz w:val="24"/>
              </w:rPr>
              <w:t>分析</w:t>
            </w:r>
          </w:p>
          <w:p>
            <w:pPr>
              <w:autoSpaceDE w:val="0"/>
              <w:autoSpaceDN w:val="0"/>
              <w:adjustRightInd w:val="0"/>
              <w:snapToGrid w:val="0"/>
              <w:spacing w:line="460" w:lineRule="exact"/>
              <w:ind w:firstLine="480" w:firstLineChars="200"/>
              <w:textAlignment w:val="baseline"/>
              <w:rPr>
                <w:color w:val="000000"/>
                <w:kern w:val="0"/>
                <w:sz w:val="24"/>
              </w:rPr>
            </w:pPr>
            <w:r>
              <w:rPr>
                <w:color w:val="000000"/>
                <w:kern w:val="0"/>
                <w:sz w:val="24"/>
              </w:rPr>
              <w:t>为避免本项目的固废在储存过程中产生二次污染问题，评价建议项目建设单位设置一般固废暂存</w:t>
            </w:r>
            <w:r>
              <w:rPr>
                <w:rFonts w:hint="eastAsia"/>
                <w:color w:val="000000"/>
                <w:kern w:val="0"/>
                <w:sz w:val="24"/>
              </w:rPr>
              <w:t>间和危废暂存间</w:t>
            </w:r>
            <w:r>
              <w:rPr>
                <w:color w:val="000000"/>
                <w:kern w:val="0"/>
                <w:sz w:val="24"/>
              </w:rPr>
              <w:t>，对项目固废实现分类存放。</w:t>
            </w:r>
            <w:r>
              <w:rPr>
                <w:rFonts w:hint="eastAsia"/>
                <w:color w:val="000000"/>
                <w:kern w:val="0"/>
                <w:sz w:val="24"/>
              </w:rPr>
              <w:t>在建工程计划设置一般固废暂存间1座（不小于1</w:t>
            </w:r>
            <w:r>
              <w:rPr>
                <w:color w:val="000000"/>
                <w:kern w:val="0"/>
                <w:sz w:val="24"/>
              </w:rPr>
              <w:t>0</w:t>
            </w:r>
            <w:r>
              <w:rPr>
                <w:rFonts w:hint="eastAsia"/>
                <w:color w:val="000000"/>
                <w:kern w:val="0"/>
                <w:sz w:val="24"/>
              </w:rPr>
              <w:t>m</w:t>
            </w:r>
            <w:r>
              <w:rPr>
                <w:color w:val="000000"/>
                <w:kern w:val="0"/>
                <w:sz w:val="24"/>
                <w:vertAlign w:val="superscript"/>
              </w:rPr>
              <w:t>2</w:t>
            </w:r>
            <w:r>
              <w:rPr>
                <w:rFonts w:hint="eastAsia"/>
                <w:color w:val="000000"/>
                <w:kern w:val="0"/>
                <w:sz w:val="24"/>
              </w:rPr>
              <w:t>），一般固废最大储存量为1</w:t>
            </w:r>
            <w:r>
              <w:rPr>
                <w:color w:val="000000"/>
                <w:kern w:val="0"/>
                <w:sz w:val="24"/>
              </w:rPr>
              <w:t>0t</w:t>
            </w:r>
            <w:r>
              <w:rPr>
                <w:rFonts w:hint="eastAsia"/>
                <w:color w:val="000000"/>
                <w:kern w:val="0"/>
                <w:sz w:val="24"/>
              </w:rPr>
              <w:t>，地面进行硬化，采取</w:t>
            </w:r>
            <w:r>
              <w:rPr>
                <w:rFonts w:hint="eastAsia"/>
                <w:color w:val="000000"/>
                <w:sz w:val="24"/>
              </w:rPr>
              <w:t>防渗漏、防雨淋、防扬尘措施</w:t>
            </w:r>
            <w:r>
              <w:rPr>
                <w:rFonts w:hint="eastAsia"/>
                <w:color w:val="000000"/>
                <w:kern w:val="0"/>
                <w:sz w:val="24"/>
              </w:rPr>
              <w:t>，满足</w:t>
            </w:r>
            <w:r>
              <w:rPr>
                <w:sz w:val="24"/>
              </w:rPr>
              <w:t>《一般工业固体废物贮存和填埋污染控制标准》（GB18599-2020）</w:t>
            </w:r>
            <w:r>
              <w:rPr>
                <w:rFonts w:hint="eastAsia"/>
                <w:color w:val="000000"/>
                <w:kern w:val="0"/>
                <w:sz w:val="24"/>
              </w:rPr>
              <w:t>的</w:t>
            </w:r>
            <w:r>
              <w:rPr>
                <w:color w:val="000000"/>
                <w:kern w:val="0"/>
                <w:sz w:val="24"/>
              </w:rPr>
              <w:t>要求</w:t>
            </w:r>
            <w:r>
              <w:rPr>
                <w:rFonts w:hint="eastAsia"/>
                <w:color w:val="000000"/>
                <w:kern w:val="0"/>
                <w:sz w:val="24"/>
              </w:rPr>
              <w:t>。本项目一般固废产生量为</w:t>
            </w:r>
            <w:r>
              <w:rPr>
                <w:color w:val="000000"/>
                <w:kern w:val="0"/>
                <w:sz w:val="24"/>
              </w:rPr>
              <w:t>0.4498t/a</w:t>
            </w:r>
            <w:r>
              <w:rPr>
                <w:rFonts w:hint="eastAsia"/>
                <w:color w:val="000000"/>
                <w:kern w:val="0"/>
                <w:sz w:val="24"/>
              </w:rPr>
              <w:t>，</w:t>
            </w:r>
            <w:r>
              <w:rPr>
                <w:rFonts w:hint="eastAsia"/>
                <w:color w:val="000000"/>
                <w:sz w:val="24"/>
              </w:rPr>
              <w:t>在建工程一般固废</w:t>
            </w:r>
            <w:r>
              <w:rPr>
                <w:rFonts w:hint="eastAsia"/>
                <w:color w:val="000000"/>
                <w:kern w:val="0"/>
                <w:sz w:val="24"/>
              </w:rPr>
              <w:t>产生量为</w:t>
            </w:r>
            <w:r>
              <w:rPr>
                <w:color w:val="000000"/>
                <w:kern w:val="0"/>
                <w:sz w:val="24"/>
              </w:rPr>
              <w:t>2.517t/a</w:t>
            </w:r>
            <w:r>
              <w:rPr>
                <w:rFonts w:hint="eastAsia"/>
                <w:color w:val="000000"/>
                <w:kern w:val="0"/>
                <w:sz w:val="24"/>
              </w:rPr>
              <w:t>、</w:t>
            </w:r>
            <w:r>
              <w:rPr>
                <w:rFonts w:hint="eastAsia"/>
                <w:sz w:val="24"/>
                <w:szCs w:val="21"/>
              </w:rPr>
              <w:t>废过滤网1</w:t>
            </w:r>
            <w:r>
              <w:rPr>
                <w:sz w:val="24"/>
                <w:szCs w:val="21"/>
              </w:rPr>
              <w:t>90</w:t>
            </w:r>
            <w:r>
              <w:rPr>
                <w:rFonts w:hint="eastAsia"/>
                <w:sz w:val="24"/>
                <w:szCs w:val="21"/>
              </w:rPr>
              <w:t>个/</w:t>
            </w:r>
            <w:r>
              <w:rPr>
                <w:sz w:val="24"/>
                <w:szCs w:val="21"/>
              </w:rPr>
              <w:t>a</w:t>
            </w:r>
            <w:r>
              <w:rPr>
                <w:rFonts w:hint="eastAsia"/>
                <w:color w:val="000000"/>
                <w:kern w:val="0"/>
                <w:sz w:val="24"/>
              </w:rPr>
              <w:t>，能够满足本次扩建项目完成后全厂的一般固废的暂存堆放，因此，本项目依托在建工程一般固废暂存间可行。</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企业利用在建工程计划设置的</w:t>
            </w:r>
            <w:r>
              <w:rPr>
                <w:bCs/>
                <w:color w:val="000000"/>
                <w:kern w:val="0"/>
                <w:sz w:val="24"/>
              </w:rPr>
              <w:t>危废暂存间</w:t>
            </w:r>
            <w:r>
              <w:rPr>
                <w:rFonts w:hint="eastAsia"/>
                <w:bCs/>
                <w:color w:val="000000"/>
                <w:kern w:val="0"/>
                <w:sz w:val="24"/>
              </w:rPr>
              <w:t>1座（不小于5m</w:t>
            </w:r>
            <w:r>
              <w:rPr>
                <w:bCs/>
                <w:color w:val="000000"/>
                <w:kern w:val="0"/>
                <w:sz w:val="24"/>
                <w:vertAlign w:val="superscript"/>
              </w:rPr>
              <w:t>2</w:t>
            </w:r>
            <w:r>
              <w:rPr>
                <w:rFonts w:hint="eastAsia"/>
                <w:bCs/>
                <w:color w:val="000000"/>
                <w:kern w:val="0"/>
                <w:sz w:val="24"/>
              </w:rPr>
              <w:t>），</w:t>
            </w:r>
            <w:r>
              <w:rPr>
                <w:rFonts w:hint="eastAsia"/>
                <w:color w:val="000000"/>
                <w:kern w:val="0"/>
                <w:sz w:val="24"/>
              </w:rPr>
              <w:t>危险固废最大储存量为</w:t>
            </w:r>
            <w:r>
              <w:rPr>
                <w:color w:val="000000"/>
                <w:kern w:val="0"/>
                <w:sz w:val="24"/>
              </w:rPr>
              <w:t>5t</w:t>
            </w:r>
            <w:r>
              <w:rPr>
                <w:rFonts w:hint="eastAsia"/>
                <w:color w:val="000000"/>
                <w:kern w:val="0"/>
                <w:sz w:val="24"/>
              </w:rPr>
              <w:t>，</w:t>
            </w:r>
            <w:r>
              <w:rPr>
                <w:rFonts w:hint="eastAsia"/>
                <w:color w:val="000000"/>
                <w:sz w:val="24"/>
              </w:rPr>
              <w:t>采取</w:t>
            </w:r>
            <w:r>
              <w:rPr>
                <w:bCs/>
                <w:color w:val="000000"/>
                <w:sz w:val="24"/>
              </w:rPr>
              <w:t>防风、防晒、防雨淋</w:t>
            </w:r>
            <w:r>
              <w:rPr>
                <w:rFonts w:hint="eastAsia"/>
                <w:bCs/>
                <w:color w:val="000000"/>
                <w:sz w:val="24"/>
              </w:rPr>
              <w:t>、防扬散、防流失、防渗漏措施</w:t>
            </w:r>
            <w:r>
              <w:rPr>
                <w:bCs/>
                <w:color w:val="000000"/>
                <w:sz w:val="24"/>
              </w:rPr>
              <w:t>，</w:t>
            </w:r>
            <w:r>
              <w:rPr>
                <w:rFonts w:hint="eastAsia"/>
                <w:bCs/>
                <w:color w:val="000000"/>
                <w:kern w:val="0"/>
                <w:sz w:val="24"/>
              </w:rPr>
              <w:t>满足</w:t>
            </w:r>
            <w:r>
              <w:rPr>
                <w:color w:val="000000"/>
                <w:kern w:val="0"/>
                <w:sz w:val="24"/>
              </w:rPr>
              <w:t>《</w:t>
            </w:r>
            <w:r>
              <w:rPr>
                <w:bCs/>
                <w:color w:val="000000"/>
                <w:kern w:val="0"/>
                <w:sz w:val="24"/>
              </w:rPr>
              <w:t>危险废物贮存污染控制标准》</w:t>
            </w:r>
            <w:r>
              <w:rPr>
                <w:color w:val="000000"/>
                <w:kern w:val="0"/>
                <w:sz w:val="24"/>
              </w:rPr>
              <w:t>（GB18597-2001）及其</w:t>
            </w:r>
            <w:r>
              <w:rPr>
                <w:rFonts w:hint="eastAsia"/>
                <w:color w:val="000000"/>
                <w:kern w:val="0"/>
                <w:sz w:val="24"/>
              </w:rPr>
              <w:t>2013</w:t>
            </w:r>
            <w:r>
              <w:rPr>
                <w:color w:val="000000"/>
                <w:kern w:val="0"/>
                <w:sz w:val="24"/>
              </w:rPr>
              <w:t>修改单的要求。危险废物产生与贮存均在厂区内，生产车间地面、运输线路和危废暂存间均采取硬化和防腐防渗措施，危险废物从产生工艺环节运输到贮存场所的过程中一旦产生散落、泄漏，</w:t>
            </w:r>
            <w:r>
              <w:rPr>
                <w:rFonts w:hint="eastAsia"/>
                <w:color w:val="000000"/>
                <w:kern w:val="0"/>
                <w:sz w:val="24"/>
              </w:rPr>
              <w:t>可以将其</w:t>
            </w:r>
            <w:r>
              <w:rPr>
                <w:color w:val="000000"/>
                <w:kern w:val="0"/>
                <w:sz w:val="24"/>
              </w:rPr>
              <w:t>用铜铲铲起，倒入专用桶</w:t>
            </w:r>
            <w:r>
              <w:rPr>
                <w:rFonts w:hint="eastAsia"/>
                <w:color w:val="000000"/>
                <w:kern w:val="0"/>
                <w:sz w:val="24"/>
              </w:rPr>
              <w:t>或池</w:t>
            </w:r>
            <w:r>
              <w:rPr>
                <w:color w:val="000000"/>
                <w:kern w:val="0"/>
                <w:sz w:val="24"/>
              </w:rPr>
              <w:t>内，存于危废暂存间，可以将影响控制在厂区内，不会对周围环境产生不利影响</w:t>
            </w:r>
            <w:r>
              <w:rPr>
                <w:rFonts w:hint="eastAsia"/>
                <w:color w:val="000000"/>
                <w:kern w:val="0"/>
                <w:sz w:val="24"/>
              </w:rPr>
              <w:t>。</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本项目危废</w:t>
            </w:r>
            <w:r>
              <w:rPr>
                <w:rFonts w:hint="eastAsia"/>
                <w:color w:val="000000"/>
                <w:sz w:val="24"/>
              </w:rPr>
              <w:t>废环氧乙烷吸收液</w:t>
            </w:r>
            <w:r>
              <w:rPr>
                <w:rFonts w:hint="eastAsia"/>
                <w:color w:val="000000"/>
                <w:kern w:val="0"/>
                <w:sz w:val="24"/>
              </w:rPr>
              <w:t>产生量为</w:t>
            </w:r>
            <w:r>
              <w:rPr>
                <w:color w:val="000000"/>
                <w:kern w:val="0"/>
                <w:sz w:val="24"/>
              </w:rPr>
              <w:t>1.5t/a</w:t>
            </w:r>
            <w:r>
              <w:rPr>
                <w:rFonts w:hint="eastAsia"/>
                <w:color w:val="000000"/>
                <w:kern w:val="0"/>
                <w:sz w:val="24"/>
              </w:rPr>
              <w:t>，</w:t>
            </w:r>
            <w:r>
              <w:rPr>
                <w:rFonts w:hint="eastAsia"/>
                <w:color w:val="000000"/>
                <w:sz w:val="24"/>
              </w:rPr>
              <w:t>在建工程危废</w:t>
            </w:r>
            <w:r>
              <w:rPr>
                <w:rFonts w:hint="eastAsia"/>
                <w:color w:val="000000"/>
                <w:kern w:val="0"/>
                <w:sz w:val="24"/>
              </w:rPr>
              <w:t>产生量为</w:t>
            </w:r>
            <w:r>
              <w:rPr>
                <w:color w:val="000000"/>
                <w:kern w:val="0"/>
                <w:sz w:val="24"/>
              </w:rPr>
              <w:t>0.6637t/a</w:t>
            </w:r>
            <w:r>
              <w:rPr>
                <w:rFonts w:hint="eastAsia"/>
                <w:color w:val="000000"/>
                <w:kern w:val="0"/>
                <w:sz w:val="24"/>
              </w:rPr>
              <w:t>，危废暂存间容量能够满足本次扩建项目完成后全厂的危险废物的暂存，因此，本项目依托在建工程</w:t>
            </w:r>
            <w:r>
              <w:rPr>
                <w:color w:val="000000"/>
                <w:kern w:val="0"/>
                <w:sz w:val="24"/>
              </w:rPr>
              <w:t>危废暂存间</w:t>
            </w:r>
            <w:r>
              <w:rPr>
                <w:rFonts w:hint="eastAsia"/>
                <w:color w:val="000000"/>
                <w:kern w:val="0"/>
                <w:sz w:val="24"/>
              </w:rPr>
              <w:t>可行。</w:t>
            </w:r>
          </w:p>
          <w:p>
            <w:pPr>
              <w:autoSpaceDE w:val="0"/>
              <w:autoSpaceDN w:val="0"/>
              <w:adjustRightInd w:val="0"/>
              <w:snapToGrid w:val="0"/>
              <w:spacing w:line="460" w:lineRule="exact"/>
              <w:ind w:firstLine="482" w:firstLineChars="200"/>
              <w:textAlignment w:val="baseline"/>
              <w:rPr>
                <w:b/>
                <w:color w:val="000000"/>
                <w:kern w:val="0"/>
                <w:sz w:val="24"/>
              </w:rPr>
            </w:pPr>
            <w:r>
              <w:rPr>
                <w:rFonts w:hint="eastAsia"/>
                <w:b/>
                <w:color w:val="000000"/>
                <w:kern w:val="0"/>
                <w:sz w:val="24"/>
              </w:rPr>
              <w:t>4、环境管理要求</w:t>
            </w:r>
          </w:p>
          <w:p>
            <w:pPr>
              <w:autoSpaceDE w:val="0"/>
              <w:autoSpaceDN w:val="0"/>
              <w:adjustRightInd w:val="0"/>
              <w:snapToGrid w:val="0"/>
              <w:spacing w:line="460" w:lineRule="exact"/>
              <w:ind w:firstLine="480" w:firstLineChars="200"/>
              <w:textAlignment w:val="baseline"/>
              <w:rPr>
                <w:color w:val="000000"/>
                <w:kern w:val="0"/>
                <w:sz w:val="24"/>
              </w:rPr>
            </w:pPr>
            <w:r>
              <w:rPr>
                <w:color w:val="000000"/>
                <w:kern w:val="0"/>
                <w:sz w:val="24"/>
              </w:rPr>
              <w:t>本次</w:t>
            </w:r>
            <w:r>
              <w:rPr>
                <w:bCs/>
                <w:color w:val="000000"/>
                <w:kern w:val="0"/>
                <w:sz w:val="24"/>
              </w:rPr>
              <w:t>扩</w:t>
            </w:r>
            <w:r>
              <w:rPr>
                <w:color w:val="000000"/>
                <w:kern w:val="0"/>
                <w:sz w:val="24"/>
              </w:rPr>
              <w:t>建项目要求企业按照评价指南和《危险废物收集 贮存 运输技术规范》（HJ2025）要求，</w:t>
            </w:r>
            <w:r>
              <w:rPr>
                <w:rFonts w:hint="eastAsia"/>
                <w:color w:val="000000"/>
                <w:kern w:val="0"/>
                <w:sz w:val="24"/>
              </w:rPr>
              <w:t>对</w:t>
            </w:r>
            <w:r>
              <w:rPr>
                <w:rFonts w:hint="eastAsia"/>
                <w:color w:val="000000"/>
                <w:sz w:val="24"/>
              </w:rPr>
              <w:t>废环氧乙烷吸收液</w:t>
            </w:r>
            <w:r>
              <w:rPr>
                <w:color w:val="000000"/>
                <w:kern w:val="0"/>
                <w:sz w:val="24"/>
              </w:rPr>
              <w:t>内部转运应采取</w:t>
            </w:r>
            <w:r>
              <w:rPr>
                <w:rFonts w:hint="eastAsia"/>
                <w:color w:val="000000"/>
                <w:kern w:val="0"/>
                <w:sz w:val="24"/>
              </w:rPr>
              <w:t>以下</w:t>
            </w:r>
            <w:r>
              <w:rPr>
                <w:color w:val="000000"/>
                <w:kern w:val="0"/>
                <w:sz w:val="24"/>
              </w:rPr>
              <w:t>措施：</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①</w:t>
            </w:r>
            <w:r>
              <w:rPr>
                <w:rFonts w:hint="eastAsia"/>
                <w:color w:val="000000"/>
                <w:sz w:val="24"/>
              </w:rPr>
              <w:t>废环氧乙烷吸收液</w:t>
            </w:r>
            <w:r>
              <w:rPr>
                <w:color w:val="000000"/>
                <w:kern w:val="0"/>
                <w:sz w:val="24"/>
              </w:rPr>
              <w:t>从厂区内产生工艺环节运输到危废暂存间，应有专人负责，专用桶收集、转运，避免可能引起的散落。</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②</w:t>
            </w:r>
            <w:r>
              <w:rPr>
                <w:rFonts w:hint="eastAsia"/>
                <w:color w:val="000000"/>
                <w:sz w:val="24"/>
              </w:rPr>
              <w:t>废环氧乙烷吸收液</w:t>
            </w:r>
            <w:r>
              <w:rPr>
                <w:rFonts w:hint="eastAsia"/>
                <w:color w:val="000000"/>
                <w:kern w:val="0"/>
                <w:sz w:val="24"/>
              </w:rPr>
              <w:t>内部转运作业应采用专用的工具，</w:t>
            </w:r>
            <w:r>
              <w:rPr>
                <w:rFonts w:hint="eastAsia"/>
                <w:color w:val="000000"/>
                <w:sz w:val="24"/>
              </w:rPr>
              <w:t>废环氧乙烷吸收液</w:t>
            </w:r>
            <w:r>
              <w:rPr>
                <w:rFonts w:hint="eastAsia"/>
                <w:color w:val="000000"/>
                <w:kern w:val="0"/>
                <w:sz w:val="24"/>
              </w:rPr>
              <w:t>内部转运应填写《危险废物厂内转运记录表》，</w:t>
            </w:r>
            <w:r>
              <w:rPr>
                <w:rFonts w:hint="eastAsia"/>
                <w:color w:val="000000"/>
                <w:sz w:val="24"/>
              </w:rPr>
              <w:t>废环氧乙烷吸收液</w:t>
            </w:r>
            <w:r>
              <w:rPr>
                <w:rFonts w:hint="eastAsia"/>
                <w:color w:val="000000"/>
                <w:kern w:val="0"/>
                <w:sz w:val="24"/>
              </w:rPr>
              <w:t>内部转运结束后，应对转运路线进行检查和清理，确保无危险废物遗失在转运路线上。</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企业在建工程计划设置的一般固废暂存间和</w:t>
            </w:r>
            <w:r>
              <w:rPr>
                <w:color w:val="000000"/>
                <w:kern w:val="0"/>
                <w:sz w:val="24"/>
              </w:rPr>
              <w:t>危废暂存间需</w:t>
            </w:r>
            <w:r>
              <w:rPr>
                <w:rFonts w:hint="eastAsia"/>
                <w:color w:val="000000"/>
                <w:kern w:val="0"/>
                <w:sz w:val="24"/>
              </w:rPr>
              <w:t>按照</w:t>
            </w:r>
            <w:r>
              <w:rPr>
                <w:color w:val="000000"/>
                <w:kern w:val="0"/>
                <w:sz w:val="24"/>
              </w:rPr>
              <w:t>以下</w:t>
            </w:r>
            <w:r>
              <w:rPr>
                <w:rFonts w:hint="eastAsia"/>
                <w:color w:val="000000"/>
                <w:kern w:val="0"/>
                <w:sz w:val="24"/>
              </w:rPr>
              <w:t>要求严格管理：</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①一般固废暂存间的地面应进行硬化，应有防渗漏、防风、防晒、防雨淋设施。</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②危险废物容器内应留一定空间。</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③各种盛装废物的容器必须完好无损，各个危险废物容器外侧须标明危险废物的名称，存入时间、重量、成分、特性以及发生泄漏、扩散污染事故时的应急措施和补救方法。</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④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⑤危险废物暂存间应设立危险废物标</w:t>
            </w:r>
            <w:r>
              <w:rPr>
                <w:color w:val="000000"/>
                <w:kern w:val="0"/>
                <w:sz w:val="24"/>
              </w:rPr>
              <w:t>志。形状：等边三角形，边长40cm；颜色：背景为黄色，图形为黑色；警告标志外檐2.5cm，材料应坚固、耐用、抗风化、抗淋蚀，如出现掉色、破损等情况应及时更换。</w:t>
            </w:r>
          </w:p>
          <w:p>
            <w:pPr>
              <w:autoSpaceDE w:val="0"/>
              <w:autoSpaceDN w:val="0"/>
              <w:adjustRightInd w:val="0"/>
              <w:snapToGrid w:val="0"/>
              <w:spacing w:line="460" w:lineRule="exact"/>
              <w:ind w:firstLine="480" w:firstLineChars="200"/>
              <w:textAlignment w:val="baseline"/>
              <w:rPr>
                <w:color w:val="000000"/>
                <w:kern w:val="0"/>
                <w:sz w:val="24"/>
              </w:rPr>
            </w:pPr>
            <w:r>
              <w:rPr>
                <w:rFonts w:hint="eastAsia"/>
                <w:color w:val="000000"/>
                <w:kern w:val="0"/>
                <w:sz w:val="24"/>
              </w:rPr>
              <w:t>⑥</w:t>
            </w:r>
            <w:r>
              <w:rPr>
                <w:color w:val="000000"/>
                <w:kern w:val="0"/>
                <w:sz w:val="24"/>
              </w:rPr>
              <w:t>各危险废物定期送至有资质的危废处理单位安全处置；在危废的转移处置过程中，应严格按照《中华人民共和国固体废物污染环境防治法》和《危险废物转移联单管理办法》有关规定执行。</w:t>
            </w:r>
          </w:p>
          <w:p>
            <w:pPr>
              <w:adjustRightInd w:val="0"/>
              <w:snapToGrid w:val="0"/>
              <w:spacing w:line="460" w:lineRule="exact"/>
              <w:ind w:firstLine="482" w:firstLineChars="200"/>
              <w:rPr>
                <w:b/>
                <w:color w:val="000000"/>
                <w:sz w:val="24"/>
              </w:rPr>
            </w:pPr>
            <w:r>
              <w:rPr>
                <w:b/>
                <w:color w:val="000000"/>
                <w:sz w:val="24"/>
              </w:rPr>
              <w:t>五、地下水</w:t>
            </w:r>
            <w:r>
              <w:rPr>
                <w:rFonts w:hint="eastAsia"/>
                <w:b/>
                <w:color w:val="000000"/>
                <w:sz w:val="24"/>
              </w:rPr>
              <w:t>、</w:t>
            </w:r>
            <w:r>
              <w:rPr>
                <w:b/>
                <w:color w:val="000000"/>
                <w:sz w:val="24"/>
              </w:rPr>
              <w:t>土壤</w:t>
            </w:r>
          </w:p>
          <w:p>
            <w:pPr>
              <w:adjustRightInd w:val="0"/>
              <w:snapToGrid w:val="0"/>
              <w:spacing w:line="460" w:lineRule="exact"/>
              <w:ind w:firstLine="480" w:firstLineChars="200"/>
              <w:rPr>
                <w:color w:val="000000"/>
                <w:sz w:val="24"/>
              </w:rPr>
            </w:pPr>
            <w:r>
              <w:rPr>
                <w:rFonts w:hint="eastAsia"/>
                <w:color w:val="000000"/>
                <w:sz w:val="24"/>
              </w:rPr>
              <w:t>本项目可能对地下水、土壤有影响的污染物主要为为先给我（废环氧乙烷吸收液）。废环氧乙烷吸收液暂存</w:t>
            </w:r>
            <w:r>
              <w:rPr>
                <w:rFonts w:hint="eastAsia"/>
                <w:bCs/>
                <w:sz w:val="24"/>
              </w:rPr>
              <w:t>于危废暂存间内，均采用密闭容器盛装，并置于托盘上，确保不渗漏，不存在污染渗漏的情况。</w:t>
            </w:r>
          </w:p>
          <w:p>
            <w:pPr>
              <w:adjustRightInd w:val="0"/>
              <w:snapToGrid w:val="0"/>
              <w:spacing w:line="460" w:lineRule="exact"/>
              <w:ind w:firstLine="480" w:firstLineChars="200"/>
              <w:rPr>
                <w:color w:val="000000"/>
                <w:sz w:val="24"/>
              </w:rPr>
            </w:pPr>
            <w:r>
              <w:rPr>
                <w:rFonts w:hint="eastAsia"/>
                <w:color w:val="000000"/>
                <w:sz w:val="24"/>
              </w:rPr>
              <w:t>综上分析，本项目废环氧乙烷吸收液不与土壤接触、下渗影响地下水。因此本项目不存在地下水、土壤污染途径，不再进行地下水及土壤环境影响分析。</w:t>
            </w:r>
          </w:p>
          <w:p>
            <w:pPr>
              <w:snapToGrid w:val="0"/>
              <w:spacing w:line="460" w:lineRule="exact"/>
              <w:ind w:firstLine="482" w:firstLineChars="200"/>
              <w:rPr>
                <w:b/>
                <w:color w:val="000000"/>
                <w:sz w:val="24"/>
              </w:rPr>
            </w:pPr>
            <w:r>
              <w:rPr>
                <w:rFonts w:hint="eastAsia"/>
                <w:b/>
                <w:color w:val="000000"/>
                <w:sz w:val="24"/>
              </w:rPr>
              <w:t>六</w:t>
            </w:r>
            <w:r>
              <w:rPr>
                <w:b/>
                <w:color w:val="000000"/>
                <w:sz w:val="24"/>
              </w:rPr>
              <w:t>、风险</w:t>
            </w:r>
          </w:p>
          <w:p>
            <w:pPr>
              <w:snapToGrid w:val="0"/>
              <w:spacing w:line="460" w:lineRule="exact"/>
              <w:ind w:firstLine="480" w:firstLineChars="200"/>
              <w:rPr>
                <w:sz w:val="24"/>
              </w:rPr>
            </w:pPr>
            <w:r>
              <w:rPr>
                <w:rFonts w:hint="eastAsia"/>
                <w:sz w:val="24"/>
              </w:rPr>
              <w:t>根据《建设项目环境风险评价技术导则》（</w:t>
            </w:r>
            <w:r>
              <w:rPr>
                <w:sz w:val="24"/>
              </w:rPr>
              <w:t>HJ169</w:t>
            </w:r>
            <w:r>
              <w:rPr>
                <w:rFonts w:hint="eastAsia"/>
                <w:sz w:val="24"/>
              </w:rPr>
              <w:t>-</w:t>
            </w:r>
            <w:r>
              <w:rPr>
                <w:sz w:val="24"/>
              </w:rPr>
              <w:t>2018</w:t>
            </w:r>
            <w:r>
              <w:rPr>
                <w:rFonts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napToGrid w:val="0"/>
              <w:spacing w:line="460" w:lineRule="exact"/>
              <w:ind w:firstLine="482" w:firstLineChars="200"/>
              <w:rPr>
                <w:b/>
                <w:bCs/>
                <w:color w:val="000000"/>
                <w:sz w:val="24"/>
              </w:rPr>
            </w:pPr>
            <w:r>
              <w:rPr>
                <w:rFonts w:hint="eastAsia"/>
                <w:b/>
                <w:bCs/>
                <w:color w:val="000000"/>
                <w:sz w:val="24"/>
              </w:rPr>
              <w:t>1、评价依据</w:t>
            </w:r>
          </w:p>
          <w:p>
            <w:pPr>
              <w:snapToGrid w:val="0"/>
              <w:spacing w:line="460" w:lineRule="exact"/>
              <w:ind w:firstLine="480" w:firstLineChars="200"/>
              <w:rPr>
                <w:sz w:val="24"/>
              </w:rPr>
            </w:pPr>
            <w:r>
              <w:rPr>
                <w:rFonts w:hint="eastAsia"/>
                <w:sz w:val="24"/>
              </w:rPr>
              <w:t>根据项目工程分析，</w:t>
            </w:r>
            <w:r>
              <w:rPr>
                <w:kern w:val="0"/>
                <w:sz w:val="24"/>
              </w:rPr>
              <w:t>项目原料</w:t>
            </w:r>
            <w:r>
              <w:rPr>
                <w:rFonts w:hint="eastAsia"/>
                <w:kern w:val="0"/>
                <w:sz w:val="24"/>
              </w:rPr>
              <w:t>环氧乙烷</w:t>
            </w:r>
            <w:r>
              <w:rPr>
                <w:kern w:val="0"/>
                <w:sz w:val="24"/>
              </w:rPr>
              <w:t>属于《危险化学品重大危险源辨识》（GB18218-2018）</w:t>
            </w:r>
            <w:r>
              <w:rPr>
                <w:rFonts w:hint="eastAsia"/>
                <w:kern w:val="0"/>
                <w:sz w:val="24"/>
              </w:rPr>
              <w:t>表</w:t>
            </w:r>
            <w:r>
              <w:rPr>
                <w:kern w:val="0"/>
                <w:sz w:val="24"/>
              </w:rPr>
              <w:t>1中规定的物质</w:t>
            </w:r>
            <w:r>
              <w:rPr>
                <w:rFonts w:hint="eastAsia"/>
                <w:kern w:val="0"/>
                <w:sz w:val="24"/>
              </w:rPr>
              <w:t>，</w:t>
            </w:r>
            <w:r>
              <w:rPr>
                <w:rFonts w:hint="eastAsia"/>
                <w:sz w:val="24"/>
              </w:rPr>
              <w:t>其贮存场所临界量为</w:t>
            </w:r>
            <w:r>
              <w:rPr>
                <w:sz w:val="24"/>
              </w:rPr>
              <w:t>10t</w:t>
            </w:r>
            <w:r>
              <w:rPr>
                <w:rFonts w:hint="eastAsia"/>
                <w:kern w:val="0"/>
                <w:sz w:val="24"/>
              </w:rPr>
              <w:t>。</w:t>
            </w:r>
            <w:r>
              <w:rPr>
                <w:rFonts w:hint="eastAsia"/>
                <w:sz w:val="24"/>
              </w:rPr>
              <w:t>项目危险化学品年用量和最大库存量见下表。</w:t>
            </w:r>
          </w:p>
          <w:p>
            <w:pPr>
              <w:snapToGrid w:val="0"/>
              <w:spacing w:line="460" w:lineRule="exact"/>
              <w:ind w:firstLine="480" w:firstLineChars="200"/>
              <w:rPr>
                <w:rFonts w:eastAsia="黑体"/>
                <w:sz w:val="24"/>
              </w:rPr>
            </w:pPr>
            <w:r>
              <w:rPr>
                <w:rFonts w:eastAsia="黑体"/>
                <w:sz w:val="24"/>
              </w:rPr>
              <w:t xml:space="preserve">表44    </w:t>
            </w:r>
            <w:r>
              <w:rPr>
                <w:rFonts w:hint="eastAsia" w:eastAsia="黑体"/>
                <w:sz w:val="24"/>
              </w:rPr>
              <w:t xml:space="preserve">         </w:t>
            </w:r>
            <w:r>
              <w:rPr>
                <w:rFonts w:eastAsia="黑体"/>
                <w:sz w:val="24"/>
              </w:rPr>
              <w:t xml:space="preserve">   风险物质年用量和最大库存量</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984"/>
              <w:gridCol w:w="1843"/>
              <w:gridCol w:w="1418"/>
              <w:gridCol w:w="21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tcMar>
                    <w:left w:w="28" w:type="dxa"/>
                    <w:right w:w="28" w:type="dxa"/>
                  </w:tcMar>
                  <w:vAlign w:val="center"/>
                </w:tcPr>
                <w:p>
                  <w:pPr>
                    <w:jc w:val="center"/>
                    <w:rPr>
                      <w:b/>
                      <w:bCs/>
                      <w:szCs w:val="21"/>
                    </w:rPr>
                  </w:pPr>
                  <w:r>
                    <w:rPr>
                      <w:b/>
                      <w:bCs/>
                      <w:szCs w:val="21"/>
                    </w:rPr>
                    <w:t>序号</w:t>
                  </w:r>
                </w:p>
              </w:tc>
              <w:tc>
                <w:tcPr>
                  <w:tcW w:w="1984" w:type="dxa"/>
                  <w:tcMar>
                    <w:left w:w="28" w:type="dxa"/>
                    <w:right w:w="28" w:type="dxa"/>
                  </w:tcMar>
                  <w:vAlign w:val="center"/>
                </w:tcPr>
                <w:p>
                  <w:pPr>
                    <w:jc w:val="center"/>
                    <w:rPr>
                      <w:b/>
                      <w:bCs/>
                      <w:szCs w:val="21"/>
                    </w:rPr>
                  </w:pPr>
                  <w:r>
                    <w:rPr>
                      <w:b/>
                      <w:bCs/>
                      <w:szCs w:val="21"/>
                    </w:rPr>
                    <w:t>物质名称</w:t>
                  </w:r>
                </w:p>
              </w:tc>
              <w:tc>
                <w:tcPr>
                  <w:tcW w:w="1843" w:type="dxa"/>
                  <w:tcMar>
                    <w:left w:w="28" w:type="dxa"/>
                    <w:right w:w="28" w:type="dxa"/>
                  </w:tcMar>
                  <w:vAlign w:val="center"/>
                </w:tcPr>
                <w:p>
                  <w:pPr>
                    <w:jc w:val="center"/>
                    <w:rPr>
                      <w:b/>
                      <w:bCs/>
                      <w:szCs w:val="21"/>
                    </w:rPr>
                  </w:pPr>
                  <w:r>
                    <w:rPr>
                      <w:b/>
                      <w:bCs/>
                      <w:szCs w:val="21"/>
                    </w:rPr>
                    <w:t>项目总用量（t/a）</w:t>
                  </w:r>
                </w:p>
              </w:tc>
              <w:tc>
                <w:tcPr>
                  <w:tcW w:w="1418" w:type="dxa"/>
                  <w:tcMar>
                    <w:left w:w="28" w:type="dxa"/>
                    <w:right w:w="28" w:type="dxa"/>
                  </w:tcMar>
                  <w:vAlign w:val="center"/>
                </w:tcPr>
                <w:p>
                  <w:pPr>
                    <w:jc w:val="center"/>
                    <w:rPr>
                      <w:b/>
                      <w:bCs/>
                      <w:szCs w:val="21"/>
                    </w:rPr>
                  </w:pPr>
                  <w:r>
                    <w:rPr>
                      <w:b/>
                      <w:bCs/>
                      <w:szCs w:val="21"/>
                    </w:rPr>
                    <w:t>盛装方式</w:t>
                  </w:r>
                </w:p>
              </w:tc>
              <w:tc>
                <w:tcPr>
                  <w:tcW w:w="2108" w:type="dxa"/>
                  <w:tcMar>
                    <w:left w:w="28" w:type="dxa"/>
                    <w:right w:w="28" w:type="dxa"/>
                  </w:tcMar>
                  <w:vAlign w:val="center"/>
                </w:tcPr>
                <w:p>
                  <w:pPr>
                    <w:jc w:val="center"/>
                    <w:rPr>
                      <w:b/>
                      <w:bCs/>
                      <w:szCs w:val="21"/>
                    </w:rPr>
                  </w:pPr>
                  <w:r>
                    <w:rPr>
                      <w:b/>
                      <w:bCs/>
                      <w:szCs w:val="21"/>
                    </w:rPr>
                    <w:t>厂区最大储存量（t）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tcMar>
                    <w:left w:w="28" w:type="dxa"/>
                    <w:right w:w="28" w:type="dxa"/>
                  </w:tcMar>
                  <w:vAlign w:val="center"/>
                </w:tcPr>
                <w:p>
                  <w:pPr>
                    <w:jc w:val="center"/>
                    <w:rPr>
                      <w:szCs w:val="21"/>
                    </w:rPr>
                  </w:pPr>
                  <w:r>
                    <w:rPr>
                      <w:szCs w:val="21"/>
                    </w:rPr>
                    <w:t>1</w:t>
                  </w:r>
                </w:p>
              </w:tc>
              <w:tc>
                <w:tcPr>
                  <w:tcW w:w="1984" w:type="dxa"/>
                  <w:tcMar>
                    <w:left w:w="28" w:type="dxa"/>
                    <w:right w:w="28" w:type="dxa"/>
                  </w:tcMar>
                  <w:vAlign w:val="center"/>
                </w:tcPr>
                <w:p>
                  <w:pPr>
                    <w:jc w:val="center"/>
                    <w:rPr>
                      <w:szCs w:val="21"/>
                    </w:rPr>
                  </w:pPr>
                  <w:r>
                    <w:rPr>
                      <w:rFonts w:hint="eastAsia"/>
                      <w:szCs w:val="21"/>
                    </w:rPr>
                    <w:t>环氧乙烷</w:t>
                  </w:r>
                </w:p>
              </w:tc>
              <w:tc>
                <w:tcPr>
                  <w:tcW w:w="1843" w:type="dxa"/>
                  <w:tcMar>
                    <w:left w:w="28" w:type="dxa"/>
                    <w:right w:w="28" w:type="dxa"/>
                  </w:tcMar>
                  <w:vAlign w:val="center"/>
                </w:tcPr>
                <w:p>
                  <w:pPr>
                    <w:jc w:val="center"/>
                    <w:rPr>
                      <w:szCs w:val="21"/>
                    </w:rPr>
                  </w:pPr>
                  <w:r>
                    <w:rPr>
                      <w:szCs w:val="21"/>
                    </w:rPr>
                    <w:t>0.9</w:t>
                  </w:r>
                </w:p>
              </w:tc>
              <w:tc>
                <w:tcPr>
                  <w:tcW w:w="1418" w:type="dxa"/>
                  <w:tcMar>
                    <w:left w:w="28" w:type="dxa"/>
                    <w:right w:w="28" w:type="dxa"/>
                  </w:tcMar>
                  <w:vAlign w:val="center"/>
                </w:tcPr>
                <w:p>
                  <w:pPr>
                    <w:jc w:val="center"/>
                    <w:rPr>
                      <w:szCs w:val="21"/>
                    </w:rPr>
                  </w:pPr>
                  <w:r>
                    <w:rPr>
                      <w:rFonts w:hint="eastAsia"/>
                      <w:szCs w:val="21"/>
                    </w:rPr>
                    <w:t>气体，罐装</w:t>
                  </w:r>
                </w:p>
              </w:tc>
              <w:tc>
                <w:tcPr>
                  <w:tcW w:w="2108" w:type="dxa"/>
                  <w:tcMar>
                    <w:left w:w="28" w:type="dxa"/>
                    <w:right w:w="28" w:type="dxa"/>
                  </w:tcMar>
                  <w:vAlign w:val="center"/>
                </w:tcPr>
                <w:p>
                  <w:pPr>
                    <w:jc w:val="center"/>
                    <w:rPr>
                      <w:szCs w:val="21"/>
                    </w:rPr>
                  </w:pPr>
                  <w:r>
                    <w:rPr>
                      <w:szCs w:val="21"/>
                    </w:rPr>
                    <w:t>0.09</w:t>
                  </w:r>
                </w:p>
              </w:tc>
            </w:tr>
          </w:tbl>
          <w:p>
            <w:pPr>
              <w:snapToGrid w:val="0"/>
              <w:spacing w:line="460" w:lineRule="exact"/>
              <w:ind w:firstLine="480" w:firstLineChars="200"/>
              <w:rPr>
                <w:sz w:val="24"/>
              </w:rPr>
            </w:pPr>
            <w:r>
              <w:rPr>
                <w:sz w:val="24"/>
              </w:rPr>
              <w:t>经查阅《企业突发环境</w:t>
            </w:r>
            <w:r>
              <w:rPr>
                <w:rFonts w:hint="eastAsia"/>
                <w:sz w:val="24"/>
              </w:rPr>
              <w:t>事件</w:t>
            </w:r>
            <w:r>
              <w:rPr>
                <w:sz w:val="24"/>
              </w:rPr>
              <w:t>风险分级方法》（HJ941-2018）附录A，风险物质临界量详见下表：</w:t>
            </w:r>
          </w:p>
          <w:p>
            <w:pPr>
              <w:snapToGrid w:val="0"/>
              <w:spacing w:line="460" w:lineRule="exact"/>
              <w:ind w:firstLine="480" w:firstLineChars="200"/>
              <w:rPr>
                <w:rFonts w:eastAsia="黑体"/>
                <w:sz w:val="24"/>
              </w:rPr>
            </w:pPr>
            <w:r>
              <w:rPr>
                <w:rFonts w:eastAsia="黑体"/>
                <w:sz w:val="24"/>
              </w:rPr>
              <w:t xml:space="preserve">表45  </w:t>
            </w:r>
            <w:r>
              <w:rPr>
                <w:rFonts w:hint="eastAsia" w:eastAsia="黑体"/>
                <w:sz w:val="24"/>
              </w:rPr>
              <w:t xml:space="preserve">       </w:t>
            </w:r>
            <w:r>
              <w:rPr>
                <w:rFonts w:eastAsia="黑体"/>
                <w:sz w:val="24"/>
              </w:rPr>
              <w:t xml:space="preserve">  项目涉及危险化学品物质及临界量标准</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59"/>
              <w:gridCol w:w="2126"/>
              <w:gridCol w:w="1559"/>
              <w:gridCol w:w="19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tcMar>
                    <w:left w:w="28" w:type="dxa"/>
                    <w:right w:w="28" w:type="dxa"/>
                  </w:tcMar>
                  <w:vAlign w:val="center"/>
                </w:tcPr>
                <w:p>
                  <w:pPr>
                    <w:jc w:val="center"/>
                    <w:rPr>
                      <w:b/>
                      <w:bCs/>
                      <w:szCs w:val="21"/>
                    </w:rPr>
                  </w:pPr>
                  <w:r>
                    <w:rPr>
                      <w:b/>
                      <w:bCs/>
                      <w:szCs w:val="21"/>
                    </w:rPr>
                    <w:t>序号</w:t>
                  </w:r>
                </w:p>
              </w:tc>
              <w:tc>
                <w:tcPr>
                  <w:tcW w:w="1559" w:type="dxa"/>
                  <w:tcMar>
                    <w:left w:w="28" w:type="dxa"/>
                    <w:right w:w="28" w:type="dxa"/>
                  </w:tcMar>
                  <w:vAlign w:val="center"/>
                </w:tcPr>
                <w:p>
                  <w:pPr>
                    <w:jc w:val="center"/>
                    <w:rPr>
                      <w:b/>
                      <w:bCs/>
                      <w:szCs w:val="21"/>
                    </w:rPr>
                  </w:pPr>
                  <w:r>
                    <w:rPr>
                      <w:b/>
                      <w:bCs/>
                      <w:szCs w:val="21"/>
                    </w:rPr>
                    <w:t>危险物质名称</w:t>
                  </w:r>
                </w:p>
              </w:tc>
              <w:tc>
                <w:tcPr>
                  <w:tcW w:w="2126" w:type="dxa"/>
                  <w:tcMar>
                    <w:left w:w="28" w:type="dxa"/>
                    <w:right w:w="28" w:type="dxa"/>
                  </w:tcMar>
                  <w:vAlign w:val="center"/>
                </w:tcPr>
                <w:p>
                  <w:pPr>
                    <w:jc w:val="center"/>
                    <w:rPr>
                      <w:b/>
                      <w:bCs/>
                      <w:szCs w:val="21"/>
                    </w:rPr>
                  </w:pPr>
                  <w:r>
                    <w:rPr>
                      <w:b/>
                      <w:bCs/>
                      <w:szCs w:val="21"/>
                    </w:rPr>
                    <w:t>最大存在总量</w:t>
                  </w:r>
                  <w:r>
                    <w:rPr>
                      <w:b/>
                      <w:szCs w:val="21"/>
                    </w:rPr>
                    <w:t>q</w:t>
                  </w:r>
                  <w:r>
                    <w:rPr>
                      <w:b/>
                      <w:szCs w:val="21"/>
                      <w:vertAlign w:val="subscript"/>
                    </w:rPr>
                    <w:t>n</w:t>
                  </w:r>
                  <w:r>
                    <w:rPr>
                      <w:b/>
                      <w:szCs w:val="21"/>
                    </w:rPr>
                    <w:t>（t）</w:t>
                  </w:r>
                </w:p>
              </w:tc>
              <w:tc>
                <w:tcPr>
                  <w:tcW w:w="1559" w:type="dxa"/>
                  <w:tcMar>
                    <w:left w:w="28" w:type="dxa"/>
                    <w:right w:w="28" w:type="dxa"/>
                  </w:tcMar>
                  <w:vAlign w:val="center"/>
                </w:tcPr>
                <w:p>
                  <w:pPr>
                    <w:jc w:val="center"/>
                    <w:rPr>
                      <w:b/>
                      <w:bCs/>
                      <w:szCs w:val="21"/>
                    </w:rPr>
                  </w:pPr>
                  <w:r>
                    <w:rPr>
                      <w:b/>
                      <w:szCs w:val="21"/>
                    </w:rPr>
                    <w:t>临界量Q</w:t>
                  </w:r>
                  <w:r>
                    <w:rPr>
                      <w:b/>
                      <w:szCs w:val="21"/>
                      <w:vertAlign w:val="subscript"/>
                    </w:rPr>
                    <w:t>n</w:t>
                  </w:r>
                  <w:r>
                    <w:rPr>
                      <w:b/>
                      <w:szCs w:val="21"/>
                    </w:rPr>
                    <w:t>（t）</w:t>
                  </w:r>
                </w:p>
              </w:tc>
              <w:tc>
                <w:tcPr>
                  <w:tcW w:w="1967" w:type="dxa"/>
                  <w:tcMar>
                    <w:left w:w="28" w:type="dxa"/>
                    <w:right w:w="28" w:type="dxa"/>
                  </w:tcMar>
                  <w:vAlign w:val="center"/>
                </w:tcPr>
                <w:p>
                  <w:pPr>
                    <w:jc w:val="center"/>
                    <w:rPr>
                      <w:b/>
                      <w:bCs/>
                      <w:szCs w:val="21"/>
                    </w:rPr>
                  </w:pPr>
                  <w:r>
                    <w:rPr>
                      <w:b/>
                      <w:szCs w:val="21"/>
                    </w:rPr>
                    <w:t>该种危险物质Q值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tcMar>
                    <w:left w:w="28" w:type="dxa"/>
                    <w:right w:w="28" w:type="dxa"/>
                  </w:tcMar>
                  <w:vAlign w:val="center"/>
                </w:tcPr>
                <w:p>
                  <w:pPr>
                    <w:jc w:val="center"/>
                    <w:rPr>
                      <w:szCs w:val="21"/>
                    </w:rPr>
                  </w:pPr>
                  <w:r>
                    <w:rPr>
                      <w:szCs w:val="21"/>
                    </w:rPr>
                    <w:t>1</w:t>
                  </w:r>
                </w:p>
              </w:tc>
              <w:tc>
                <w:tcPr>
                  <w:tcW w:w="1559" w:type="dxa"/>
                  <w:tcMar>
                    <w:left w:w="28" w:type="dxa"/>
                    <w:right w:w="28" w:type="dxa"/>
                  </w:tcMar>
                  <w:vAlign w:val="center"/>
                </w:tcPr>
                <w:p>
                  <w:pPr>
                    <w:jc w:val="center"/>
                    <w:rPr>
                      <w:szCs w:val="21"/>
                    </w:rPr>
                  </w:pPr>
                  <w:r>
                    <w:rPr>
                      <w:rFonts w:hint="eastAsia"/>
                      <w:szCs w:val="21"/>
                    </w:rPr>
                    <w:t>环氧乙烷</w:t>
                  </w:r>
                </w:p>
              </w:tc>
              <w:tc>
                <w:tcPr>
                  <w:tcW w:w="2126" w:type="dxa"/>
                  <w:tcMar>
                    <w:left w:w="28" w:type="dxa"/>
                    <w:right w:w="28" w:type="dxa"/>
                  </w:tcMar>
                  <w:vAlign w:val="center"/>
                </w:tcPr>
                <w:p>
                  <w:pPr>
                    <w:jc w:val="center"/>
                    <w:rPr>
                      <w:szCs w:val="21"/>
                    </w:rPr>
                  </w:pPr>
                  <w:r>
                    <w:rPr>
                      <w:szCs w:val="21"/>
                    </w:rPr>
                    <w:t>0.09</w:t>
                  </w:r>
                </w:p>
              </w:tc>
              <w:tc>
                <w:tcPr>
                  <w:tcW w:w="1559" w:type="dxa"/>
                  <w:tcMar>
                    <w:left w:w="28" w:type="dxa"/>
                    <w:right w:w="28" w:type="dxa"/>
                  </w:tcMar>
                  <w:vAlign w:val="center"/>
                </w:tcPr>
                <w:p>
                  <w:pPr>
                    <w:jc w:val="center"/>
                    <w:rPr>
                      <w:szCs w:val="21"/>
                    </w:rPr>
                  </w:pPr>
                  <w:r>
                    <w:rPr>
                      <w:szCs w:val="21"/>
                    </w:rPr>
                    <w:t>10</w:t>
                  </w:r>
                </w:p>
              </w:tc>
              <w:tc>
                <w:tcPr>
                  <w:tcW w:w="1967" w:type="dxa"/>
                  <w:tcMar>
                    <w:left w:w="28" w:type="dxa"/>
                    <w:right w:w="28" w:type="dxa"/>
                  </w:tcMar>
                  <w:vAlign w:val="center"/>
                </w:tcPr>
                <w:p>
                  <w:pPr>
                    <w:jc w:val="center"/>
                    <w:rPr>
                      <w:szCs w:val="21"/>
                    </w:rPr>
                  </w:pPr>
                  <w:r>
                    <w:rPr>
                      <w:szCs w:val="21"/>
                    </w:rPr>
                    <w:t>0.009</w:t>
                  </w:r>
                </w:p>
              </w:tc>
            </w:tr>
          </w:tbl>
          <w:p>
            <w:pPr>
              <w:snapToGrid w:val="0"/>
              <w:spacing w:line="460" w:lineRule="exact"/>
              <w:ind w:firstLine="480" w:firstLineChars="200"/>
              <w:rPr>
                <w:sz w:val="24"/>
              </w:rPr>
            </w:pPr>
            <w:r>
              <w:rPr>
                <w:rFonts w:hint="eastAsia"/>
                <w:sz w:val="24"/>
              </w:rPr>
              <w:t>根据上表数据及《建设项目环境风险评价技术导则》（</w:t>
            </w:r>
            <w:r>
              <w:rPr>
                <w:sz w:val="24"/>
              </w:rPr>
              <w:t>HJ169</w:t>
            </w:r>
            <w:r>
              <w:rPr>
                <w:rFonts w:hint="eastAsia"/>
                <w:sz w:val="24"/>
              </w:rPr>
              <w:t>-</w:t>
            </w:r>
            <w:r>
              <w:rPr>
                <w:sz w:val="24"/>
              </w:rPr>
              <w:t>2018</w:t>
            </w:r>
            <w:r>
              <w:rPr>
                <w:rFonts w:hint="eastAsia"/>
                <w:sz w:val="24"/>
              </w:rPr>
              <w:t>）附录</w:t>
            </w:r>
            <w:r>
              <w:rPr>
                <w:sz w:val="24"/>
              </w:rPr>
              <w:t>C</w:t>
            </w:r>
            <w:r>
              <w:rPr>
                <w:rFonts w:hint="eastAsia"/>
                <w:sz w:val="24"/>
              </w:rPr>
              <w:t>计算得出，本项目物质总量与临界量比值：</w:t>
            </w:r>
            <w:r>
              <w:rPr>
                <w:sz w:val="24"/>
              </w:rPr>
              <w:t>Q=0.009＜1</w:t>
            </w:r>
            <w:r>
              <w:rPr>
                <w:rFonts w:hint="eastAsia"/>
                <w:sz w:val="24"/>
              </w:rPr>
              <w:t>，因此本次新建项目不需要设置风险专项分析。</w:t>
            </w:r>
          </w:p>
          <w:p>
            <w:pPr>
              <w:snapToGrid w:val="0"/>
              <w:spacing w:line="460" w:lineRule="exact"/>
              <w:ind w:firstLine="482" w:firstLineChars="200"/>
              <w:rPr>
                <w:b/>
                <w:bCs/>
                <w:color w:val="000000"/>
                <w:sz w:val="24"/>
              </w:rPr>
            </w:pPr>
            <w:r>
              <w:rPr>
                <w:b/>
                <w:bCs/>
                <w:color w:val="000000"/>
                <w:sz w:val="24"/>
              </w:rPr>
              <w:t>2</w:t>
            </w:r>
            <w:r>
              <w:rPr>
                <w:rFonts w:hint="eastAsia"/>
                <w:b/>
                <w:bCs/>
                <w:color w:val="000000"/>
                <w:sz w:val="24"/>
              </w:rPr>
              <w:t>、风险源分布情况</w:t>
            </w:r>
          </w:p>
          <w:p>
            <w:pPr>
              <w:snapToGrid w:val="0"/>
              <w:spacing w:line="460" w:lineRule="exact"/>
              <w:ind w:firstLine="480" w:firstLineChars="200"/>
              <w:rPr>
                <w:sz w:val="24"/>
              </w:rPr>
            </w:pPr>
            <w:r>
              <w:rPr>
                <w:rFonts w:hint="eastAsia"/>
                <w:sz w:val="24"/>
              </w:rPr>
              <w:t>本次新建项目环氧乙烷在厂区的位置图如下。</w:t>
            </w:r>
          </w:p>
          <w:p>
            <w:pPr>
              <w:snapToGrid w:val="0"/>
              <w:jc w:val="center"/>
              <w:rPr>
                <w:rFonts w:eastAsia="黑体"/>
                <w:color w:val="000000"/>
                <w:sz w:val="24"/>
              </w:rPr>
            </w:pPr>
            <w:r>
              <w:rPr>
                <w:rFonts w:hint="eastAsia" w:eastAsia="黑体"/>
                <w:color w:val="000000"/>
                <w:sz w:val="24"/>
              </w:rPr>
              <mc:AlternateContent>
                <mc:Choice Requires="wps">
                  <w:drawing>
                    <wp:anchor distT="0" distB="0" distL="114300" distR="114300" simplePos="0" relativeHeight="251684864" behindDoc="0" locked="0" layoutInCell="1" allowOverlap="1">
                      <wp:simplePos x="0" y="0"/>
                      <wp:positionH relativeFrom="column">
                        <wp:posOffset>3960495</wp:posOffset>
                      </wp:positionH>
                      <wp:positionV relativeFrom="paragraph">
                        <wp:posOffset>1965960</wp:posOffset>
                      </wp:positionV>
                      <wp:extent cx="739140" cy="294640"/>
                      <wp:effectExtent l="206375" t="9525" r="6985" b="67310"/>
                      <wp:wrapNone/>
                      <wp:docPr id="3" name="自选图形 7"/>
                      <wp:cNvGraphicFramePr/>
                      <a:graphic xmlns:a="http://schemas.openxmlformats.org/drawingml/2006/main">
                        <a:graphicData uri="http://schemas.microsoft.com/office/word/2010/wordprocessingShape">
                          <wps:wsp>
                            <wps:cNvSpPr>
                              <a:spLocks noChangeArrowheads="1"/>
                            </wps:cNvSpPr>
                            <wps:spPr bwMode="auto">
                              <a:xfrm>
                                <a:off x="0" y="0"/>
                                <a:ext cx="739140" cy="294640"/>
                              </a:xfrm>
                              <a:prstGeom prst="wedgeRectCallout">
                                <a:avLst>
                                  <a:gd name="adj1" fmla="val -73454"/>
                                  <a:gd name="adj2" fmla="val 62282"/>
                                </a:avLst>
                              </a:prstGeom>
                              <a:solidFill>
                                <a:srgbClr val="FFFFFF"/>
                              </a:solidFill>
                              <a:ln w="9525">
                                <a:solidFill>
                                  <a:srgbClr val="000000"/>
                                </a:solidFill>
                                <a:miter lim="800000"/>
                              </a:ln>
                            </wps:spPr>
                            <wps:txbx>
                              <w:txbxContent>
                                <w:p>
                                  <w:r>
                                    <w:rPr>
                                      <w:rFonts w:hint="eastAsia"/>
                                    </w:rPr>
                                    <w:t>风险单元</w:t>
                                  </w:r>
                                </w:p>
                              </w:txbxContent>
                            </wps:txbx>
                            <wps:bodyPr rot="0" vert="horz" wrap="square" lIns="91440" tIns="45720" rIns="91440" bIns="45720" anchor="t" anchorCtr="0" upright="1">
                              <a:noAutofit/>
                            </wps:bodyPr>
                          </wps:wsp>
                        </a:graphicData>
                      </a:graphic>
                    </wp:anchor>
                  </w:drawing>
                </mc:Choice>
                <mc:Fallback>
                  <w:pict>
                    <v:shape id="自选图形 7" o:spid="_x0000_s1026" o:spt="61" type="#_x0000_t61" style="position:absolute;left:0pt;margin-left:311.85pt;margin-top:154.8pt;height:23.2pt;width:58.2pt;z-index:251684864;mso-width-relative:page;mso-height-relative:page;" fillcolor="#FFFFFF" filled="t" stroked="t" coordsize="21600,21600" o:gfxdata="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uiMCvbAAAACwEAAA8AAAAAAAAAAQAgAAAAIgAAAGRycy9kb3du&#10;cmV2LnhtbFBLAQIUABQAAAAIAIdO4kCb4cOkbgIAAN0EAAAOAAAAAAAAAAEAIAAAACoBAABkcnMv&#10;ZTJvRG9jLnhtbFBLBQYAAAAABgAGAFkBAAAKBgAAAAA=&#10;" adj="-5066,24253">
                      <v:fill on="t" focussize="0,0"/>
                      <v:stroke color="#000000" miterlimit="8" joinstyle="miter"/>
                      <v:imagedata o:title=""/>
                      <o:lock v:ext="edit" aspectratio="f"/>
                      <v:textbox>
                        <w:txbxContent>
                          <w:p>
                            <w:r>
                              <w:rPr>
                                <w:rFonts w:hint="eastAsia"/>
                              </w:rPr>
                              <w:t>风险单元</w:t>
                            </w:r>
                          </w:p>
                        </w:txbxContent>
                      </v:textbox>
                    </v:shape>
                  </w:pict>
                </mc:Fallback>
              </mc:AlternateContent>
            </w:r>
            <w:r>
              <w:drawing>
                <wp:inline distT="0" distB="0" distL="0" distR="0">
                  <wp:extent cx="5048250" cy="33909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8" cstate="email"/>
                          <a:srcRect/>
                          <a:stretch>
                            <a:fillRect/>
                          </a:stretch>
                        </pic:blipFill>
                        <pic:spPr>
                          <a:xfrm>
                            <a:off x="0" y="0"/>
                            <a:ext cx="5048250" cy="3390900"/>
                          </a:xfrm>
                          <a:prstGeom prst="rect">
                            <a:avLst/>
                          </a:prstGeom>
                          <a:noFill/>
                          <a:ln>
                            <a:noFill/>
                          </a:ln>
                        </pic:spPr>
                      </pic:pic>
                    </a:graphicData>
                  </a:graphic>
                </wp:inline>
              </w:drawing>
            </w:r>
          </w:p>
          <w:p>
            <w:pPr>
              <w:snapToGrid w:val="0"/>
              <w:jc w:val="center"/>
              <w:rPr>
                <w:rFonts w:eastAsia="黑体"/>
                <w:color w:val="000000"/>
                <w:sz w:val="24"/>
              </w:rPr>
            </w:pPr>
            <w:r>
              <w:rPr>
                <w:rFonts w:hint="eastAsia" w:eastAsia="黑体"/>
                <w:color w:val="000000"/>
                <w:sz w:val="24"/>
              </w:rPr>
              <w:t>图</w:t>
            </w:r>
            <w:r>
              <w:rPr>
                <w:rFonts w:eastAsia="黑体"/>
                <w:color w:val="000000"/>
                <w:sz w:val="24"/>
              </w:rPr>
              <w:t xml:space="preserve">5  </w:t>
            </w:r>
            <w:r>
              <w:rPr>
                <w:rFonts w:hint="eastAsia" w:eastAsia="黑体"/>
                <w:color w:val="000000"/>
                <w:sz w:val="24"/>
              </w:rPr>
              <w:t>项目危险单元分布图</w:t>
            </w:r>
          </w:p>
          <w:p>
            <w:pPr>
              <w:snapToGrid w:val="0"/>
              <w:spacing w:line="460" w:lineRule="exact"/>
              <w:ind w:firstLine="482" w:firstLineChars="200"/>
              <w:rPr>
                <w:b/>
                <w:bCs/>
                <w:color w:val="000000"/>
                <w:sz w:val="24"/>
              </w:rPr>
            </w:pPr>
            <w:r>
              <w:rPr>
                <w:rFonts w:hint="eastAsia"/>
                <w:b/>
                <w:bCs/>
                <w:color w:val="000000"/>
                <w:sz w:val="24"/>
              </w:rPr>
              <w:t>3、可能影响环境途径</w:t>
            </w:r>
          </w:p>
          <w:p>
            <w:pPr>
              <w:snapToGrid w:val="0"/>
              <w:spacing w:line="460" w:lineRule="exact"/>
              <w:ind w:firstLine="480" w:firstLineChars="200"/>
              <w:rPr>
                <w:sz w:val="24"/>
              </w:rPr>
            </w:pPr>
            <w:r>
              <w:rPr>
                <w:rFonts w:hint="eastAsia"/>
                <w:sz w:val="24"/>
              </w:rPr>
              <w:t>经查阅相关资料，本项目最大可信事故是：环氧乙烷原料在使用、储存</w:t>
            </w:r>
            <w:r>
              <w:rPr>
                <w:kern w:val="0"/>
                <w:sz w:val="24"/>
              </w:rPr>
              <w:t>、运输过程中的泄漏遇明火意外燃烧从而引发</w:t>
            </w:r>
            <w:r>
              <w:rPr>
                <w:rFonts w:hint="eastAsia"/>
                <w:kern w:val="0"/>
                <w:sz w:val="24"/>
              </w:rPr>
              <w:t>爆炸</w:t>
            </w:r>
            <w:r>
              <w:rPr>
                <w:kern w:val="0"/>
                <w:sz w:val="24"/>
              </w:rPr>
              <w:t>火灾事故，</w:t>
            </w:r>
            <w:r>
              <w:rPr>
                <w:rFonts w:hint="eastAsia"/>
                <w:kern w:val="0"/>
                <w:sz w:val="24"/>
              </w:rPr>
              <w:t>可能影响环境的</w:t>
            </w:r>
            <w:r>
              <w:rPr>
                <w:kern w:val="0"/>
                <w:sz w:val="24"/>
              </w:rPr>
              <w:t>途径为发生泄漏或</w:t>
            </w:r>
            <w:r>
              <w:rPr>
                <w:rFonts w:hint="eastAsia"/>
                <w:kern w:val="0"/>
                <w:sz w:val="24"/>
              </w:rPr>
              <w:t>爆炸</w:t>
            </w:r>
            <w:r>
              <w:rPr>
                <w:kern w:val="0"/>
                <w:sz w:val="24"/>
              </w:rPr>
              <w:t>时</w:t>
            </w:r>
            <w:r>
              <w:rPr>
                <w:rFonts w:hint="eastAsia"/>
                <w:kern w:val="0"/>
                <w:sz w:val="24"/>
              </w:rPr>
              <w:t>的</w:t>
            </w:r>
            <w:r>
              <w:rPr>
                <w:kern w:val="0"/>
                <w:sz w:val="24"/>
              </w:rPr>
              <w:t>大气扩散。</w:t>
            </w:r>
          </w:p>
          <w:p>
            <w:pPr>
              <w:snapToGrid w:val="0"/>
              <w:spacing w:line="460" w:lineRule="exact"/>
              <w:ind w:firstLine="482" w:firstLineChars="200"/>
              <w:rPr>
                <w:b/>
                <w:bCs/>
                <w:color w:val="000000"/>
                <w:sz w:val="24"/>
              </w:rPr>
            </w:pPr>
            <w:r>
              <w:rPr>
                <w:b/>
                <w:bCs/>
                <w:color w:val="000000"/>
                <w:sz w:val="24"/>
              </w:rPr>
              <w:t>4</w:t>
            </w:r>
            <w:r>
              <w:rPr>
                <w:rFonts w:hint="eastAsia"/>
                <w:b/>
                <w:bCs/>
                <w:color w:val="000000"/>
                <w:sz w:val="24"/>
              </w:rPr>
              <w:t>、环境风险防范措施</w:t>
            </w:r>
          </w:p>
          <w:p>
            <w:pPr>
              <w:snapToGrid w:val="0"/>
              <w:spacing w:line="460" w:lineRule="exact"/>
              <w:ind w:firstLine="480" w:firstLineChars="200"/>
              <w:rPr>
                <w:sz w:val="24"/>
              </w:rPr>
            </w:pPr>
            <w:r>
              <w:rPr>
                <w:rFonts w:hint="eastAsia"/>
                <w:sz w:val="24"/>
              </w:rPr>
              <w:t>（</w:t>
            </w:r>
            <w:r>
              <w:rPr>
                <w:sz w:val="24"/>
              </w:rPr>
              <w:t>1</w:t>
            </w:r>
            <w:r>
              <w:rPr>
                <w:rFonts w:hint="eastAsia"/>
                <w:sz w:val="24"/>
              </w:rPr>
              <w:t>）</w:t>
            </w:r>
            <w:r>
              <w:rPr>
                <w:sz w:val="24"/>
              </w:rPr>
              <w:t>化学危险品堆放，应符合防火、防爆的安全要求。</w:t>
            </w:r>
          </w:p>
          <w:p>
            <w:pPr>
              <w:snapToGrid w:val="0"/>
              <w:spacing w:line="460" w:lineRule="exact"/>
              <w:ind w:firstLine="480" w:firstLineChars="200"/>
              <w:jc w:val="left"/>
              <w:rPr>
                <w:sz w:val="24"/>
              </w:rPr>
            </w:pPr>
            <w:r>
              <w:rPr>
                <w:rFonts w:hint="eastAsia"/>
                <w:sz w:val="24"/>
              </w:rPr>
              <w:t>（</w:t>
            </w:r>
            <w:r>
              <w:rPr>
                <w:sz w:val="24"/>
              </w:rPr>
              <w:t>2</w:t>
            </w:r>
            <w:r>
              <w:rPr>
                <w:rFonts w:hint="eastAsia"/>
                <w:sz w:val="24"/>
              </w:rPr>
              <w:t>）</w:t>
            </w:r>
            <w:r>
              <w:rPr>
                <w:sz w:val="24"/>
              </w:rPr>
              <w:t>原料入库时，应严格检验物品质量、数量、包装情况、有无泄漏。</w:t>
            </w:r>
          </w:p>
          <w:p>
            <w:pPr>
              <w:snapToGrid w:val="0"/>
              <w:spacing w:line="460" w:lineRule="exact"/>
              <w:ind w:firstLine="480" w:firstLineChars="200"/>
              <w:rPr>
                <w:sz w:val="24"/>
              </w:rPr>
            </w:pPr>
            <w:r>
              <w:rPr>
                <w:rFonts w:hint="eastAsia"/>
                <w:sz w:val="24"/>
              </w:rPr>
              <w:t>（</w:t>
            </w:r>
            <w:r>
              <w:rPr>
                <w:sz w:val="24"/>
              </w:rPr>
              <w:t>3</w:t>
            </w:r>
            <w:r>
              <w:rPr>
                <w:rFonts w:hint="eastAsia"/>
                <w:sz w:val="24"/>
              </w:rPr>
              <w:t>）</w:t>
            </w:r>
            <w:r>
              <w:rPr>
                <w:sz w:val="24"/>
              </w:rPr>
              <w:t>使用危险化学品的过程中，泄漏的包装容器应迅速移到安全区域。</w:t>
            </w:r>
          </w:p>
          <w:p>
            <w:pPr>
              <w:snapToGrid w:val="0"/>
              <w:spacing w:line="460" w:lineRule="exact"/>
              <w:ind w:firstLine="480" w:firstLineChars="200"/>
              <w:rPr>
                <w:sz w:val="24"/>
              </w:rPr>
            </w:pPr>
            <w:r>
              <w:rPr>
                <w:rFonts w:hint="eastAsia"/>
                <w:sz w:val="24"/>
              </w:rPr>
              <w:t>（</w:t>
            </w:r>
            <w:r>
              <w:rPr>
                <w:sz w:val="24"/>
              </w:rPr>
              <w:t>4</w:t>
            </w:r>
            <w:r>
              <w:rPr>
                <w:rFonts w:hint="eastAsia"/>
                <w:sz w:val="24"/>
              </w:rPr>
              <w:t>）</w:t>
            </w:r>
            <w:r>
              <w:rPr>
                <w:sz w:val="24"/>
              </w:rPr>
              <w:t>贮存的化学品要有明显的标志，并符合国家相关规定。</w:t>
            </w:r>
          </w:p>
          <w:p>
            <w:pPr>
              <w:snapToGrid w:val="0"/>
              <w:spacing w:line="460" w:lineRule="exact"/>
              <w:ind w:firstLine="480" w:firstLineChars="200"/>
              <w:rPr>
                <w:sz w:val="24"/>
              </w:rPr>
            </w:pPr>
            <w:r>
              <w:rPr>
                <w:rFonts w:hint="eastAsia"/>
                <w:sz w:val="24"/>
              </w:rPr>
              <w:t>（</w:t>
            </w:r>
            <w:r>
              <w:rPr>
                <w:sz w:val="24"/>
              </w:rPr>
              <w:t>5</w:t>
            </w:r>
            <w:r>
              <w:rPr>
                <w:rFonts w:hint="eastAsia"/>
                <w:sz w:val="24"/>
              </w:rPr>
              <w:t>）</w:t>
            </w:r>
            <w:r>
              <w:rPr>
                <w:sz w:val="24"/>
              </w:rPr>
              <w:t>制定应急处理措施，编制事故处理预案，并保证事故发生时，预案能够及时启动。</w:t>
            </w:r>
          </w:p>
          <w:p>
            <w:pPr>
              <w:snapToGrid w:val="0"/>
              <w:spacing w:line="460" w:lineRule="exact"/>
              <w:ind w:firstLine="480" w:firstLineChars="200"/>
              <w:rPr>
                <w:sz w:val="24"/>
              </w:rPr>
            </w:pPr>
            <w:r>
              <w:rPr>
                <w:rFonts w:hint="eastAsia"/>
                <w:sz w:val="24"/>
              </w:rPr>
              <w:t>（</w:t>
            </w:r>
            <w:r>
              <w:rPr>
                <w:sz w:val="24"/>
              </w:rPr>
              <w:t>6</w:t>
            </w:r>
            <w:r>
              <w:rPr>
                <w:rFonts w:hint="eastAsia"/>
                <w:sz w:val="24"/>
              </w:rPr>
              <w:t>）环氧乙烷</w:t>
            </w:r>
            <w:r>
              <w:rPr>
                <w:sz w:val="24"/>
              </w:rPr>
              <w:t>在</w:t>
            </w:r>
            <w:r>
              <w:rPr>
                <w:rFonts w:hint="eastAsia"/>
                <w:sz w:val="24"/>
              </w:rPr>
              <w:t>密闭</w:t>
            </w:r>
            <w:r>
              <w:rPr>
                <w:sz w:val="24"/>
              </w:rPr>
              <w:t>危险品仓库内储存，防止因原料</w:t>
            </w:r>
            <w:r>
              <w:rPr>
                <w:rFonts w:hint="eastAsia"/>
                <w:sz w:val="24"/>
              </w:rPr>
              <w:t>泄露对大气</w:t>
            </w:r>
            <w:r>
              <w:rPr>
                <w:sz w:val="24"/>
              </w:rPr>
              <w:t>的影响。</w:t>
            </w:r>
          </w:p>
          <w:p>
            <w:pPr>
              <w:snapToGrid w:val="0"/>
              <w:spacing w:line="460" w:lineRule="exact"/>
              <w:ind w:firstLine="480" w:firstLineChars="200"/>
              <w:rPr>
                <w:sz w:val="24"/>
              </w:rPr>
            </w:pPr>
            <w:r>
              <w:rPr>
                <w:rFonts w:hint="eastAsia"/>
                <w:sz w:val="24"/>
              </w:rPr>
              <w:t>（</w:t>
            </w:r>
            <w:r>
              <w:rPr>
                <w:sz w:val="24"/>
              </w:rPr>
              <w:t>7</w:t>
            </w:r>
            <w:r>
              <w:rPr>
                <w:rFonts w:hint="eastAsia"/>
                <w:sz w:val="24"/>
              </w:rPr>
              <w:t>）厂内设置泡沫灭火器，增加职工消防安全学习，防止爆炸火灾发生</w:t>
            </w:r>
            <w:r>
              <w:rPr>
                <w:sz w:val="24"/>
              </w:rPr>
              <w:t>。</w:t>
            </w:r>
          </w:p>
          <w:p>
            <w:pPr>
              <w:snapToGrid w:val="0"/>
              <w:spacing w:line="460" w:lineRule="exact"/>
              <w:ind w:firstLine="480" w:firstLineChars="200"/>
              <w:rPr>
                <w:sz w:val="24"/>
              </w:rPr>
            </w:pPr>
            <w:r>
              <w:rPr>
                <w:rFonts w:hint="eastAsia"/>
                <w:sz w:val="24"/>
              </w:rPr>
              <w:t>（</w:t>
            </w:r>
            <w:r>
              <w:rPr>
                <w:sz w:val="24"/>
              </w:rPr>
              <w:t>8</w:t>
            </w:r>
            <w:r>
              <w:rPr>
                <w:rFonts w:hint="eastAsia"/>
                <w:sz w:val="24"/>
              </w:rPr>
              <w:t>）环氧乙烷存放区设置报警装置，旁边设置应急水池，泄漏后将罐体送入水池内</w:t>
            </w:r>
            <w:r>
              <w:rPr>
                <w:sz w:val="24"/>
              </w:rPr>
              <w:t>。</w:t>
            </w:r>
          </w:p>
          <w:p>
            <w:pPr>
              <w:spacing w:line="460" w:lineRule="exact"/>
              <w:ind w:firstLine="480" w:firstLineChars="200"/>
              <w:rPr>
                <w:color w:val="000000"/>
                <w:sz w:val="24"/>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460" w:lineRule="exact"/>
              <w:ind w:firstLine="480" w:firstLineChars="200"/>
              <w:textAlignment w:val="baseline"/>
              <w:rPr>
                <w:color w:val="000000"/>
                <w:sz w:val="24"/>
                <w:highlight w:val="yellow"/>
              </w:rPr>
            </w:pPr>
          </w:p>
          <w:p>
            <w:pPr>
              <w:autoSpaceDE w:val="0"/>
              <w:autoSpaceDN w:val="0"/>
              <w:adjustRightInd w:val="0"/>
              <w:snapToGrid w:val="0"/>
              <w:spacing w:line="380" w:lineRule="exact"/>
              <w:ind w:firstLine="440" w:firstLineChars="200"/>
              <w:textAlignment w:val="baseline"/>
              <w:rPr>
                <w:bCs/>
                <w:spacing w:val="-10"/>
                <w:sz w:val="24"/>
              </w:rPr>
            </w:pPr>
          </w:p>
        </w:tc>
      </w:tr>
    </w:tbl>
    <w:p>
      <w:pPr>
        <w:adjustRightInd w:val="0"/>
        <w:snapToGrid w:val="0"/>
        <w:rPr>
          <w:rFonts w:ascii="宋体" w:cs="宋体"/>
          <w:b/>
          <w:kern w:val="0"/>
          <w:sz w:val="18"/>
          <w:szCs w:val="18"/>
        </w:rPr>
        <w:sectPr>
          <w:pgSz w:w="11907" w:h="16840"/>
          <w:pgMar w:top="1701" w:right="1531" w:bottom="2127" w:left="1531" w:header="851" w:footer="851" w:gutter="0"/>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72"/>
        <w:gridCol w:w="567"/>
        <w:gridCol w:w="850"/>
        <w:gridCol w:w="1559"/>
        <w:gridCol w:w="1985"/>
        <w:gridCol w:w="28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tcBorders>
              <w:tl2br w:val="single" w:color="auto" w:sz="4" w:space="0"/>
            </w:tcBorders>
          </w:tcPr>
          <w:p>
            <w:pPr>
              <w:adjustRightInd w:val="0"/>
              <w:snapToGrid w:val="0"/>
              <w:jc w:val="right"/>
              <w:rPr>
                <w:rFonts w:cs="宋体"/>
                <w:b/>
                <w:bCs/>
                <w:szCs w:val="21"/>
              </w:rPr>
            </w:pPr>
            <w:r>
              <w:rPr>
                <w:rFonts w:hint="eastAsia" w:cs="宋体"/>
                <w:b/>
                <w:bCs/>
                <w:szCs w:val="21"/>
              </w:rPr>
              <w:t>内容</w:t>
            </w:r>
          </w:p>
          <w:p>
            <w:pPr>
              <w:adjustRightInd w:val="0"/>
              <w:snapToGrid w:val="0"/>
              <w:rPr>
                <w:rFonts w:cs="宋体"/>
                <w:b/>
                <w:bCs/>
                <w:szCs w:val="21"/>
              </w:rPr>
            </w:pPr>
            <w:r>
              <w:rPr>
                <w:rFonts w:hint="eastAsia" w:cs="宋体"/>
                <w:b/>
                <w:bCs/>
                <w:szCs w:val="21"/>
              </w:rPr>
              <w:t>要素</w:t>
            </w:r>
          </w:p>
        </w:tc>
        <w:tc>
          <w:tcPr>
            <w:tcW w:w="1417" w:type="dxa"/>
            <w:gridSpan w:val="2"/>
            <w:vAlign w:val="center"/>
          </w:tcPr>
          <w:p>
            <w:pPr>
              <w:adjustRightInd w:val="0"/>
              <w:snapToGrid w:val="0"/>
              <w:jc w:val="center"/>
              <w:rPr>
                <w:rFonts w:cs="宋体"/>
                <w:b/>
                <w:bCs/>
                <w:szCs w:val="21"/>
              </w:rPr>
            </w:pPr>
            <w:r>
              <w:rPr>
                <w:rFonts w:hint="eastAsia" w:cs="宋体"/>
                <w:b/>
                <w:bCs/>
                <w:szCs w:val="21"/>
              </w:rPr>
              <w:t>排放口(编号、名称)/污染源</w:t>
            </w:r>
          </w:p>
        </w:tc>
        <w:tc>
          <w:tcPr>
            <w:tcW w:w="1559" w:type="dxa"/>
            <w:vAlign w:val="center"/>
          </w:tcPr>
          <w:p>
            <w:pPr>
              <w:adjustRightInd w:val="0"/>
              <w:snapToGrid w:val="0"/>
              <w:jc w:val="center"/>
              <w:rPr>
                <w:rFonts w:cs="宋体"/>
                <w:b/>
                <w:bCs/>
                <w:szCs w:val="21"/>
              </w:rPr>
            </w:pPr>
            <w:r>
              <w:rPr>
                <w:rFonts w:hint="eastAsia" w:cs="宋体"/>
                <w:b/>
                <w:bCs/>
                <w:szCs w:val="21"/>
              </w:rPr>
              <w:t>污染物项目</w:t>
            </w:r>
          </w:p>
        </w:tc>
        <w:tc>
          <w:tcPr>
            <w:tcW w:w="1985" w:type="dxa"/>
            <w:vAlign w:val="center"/>
          </w:tcPr>
          <w:p>
            <w:pPr>
              <w:adjustRightInd w:val="0"/>
              <w:snapToGrid w:val="0"/>
              <w:jc w:val="center"/>
              <w:rPr>
                <w:rFonts w:cs="宋体"/>
                <w:b/>
                <w:bCs/>
                <w:szCs w:val="21"/>
              </w:rPr>
            </w:pPr>
            <w:r>
              <w:rPr>
                <w:rFonts w:hint="eastAsia" w:cs="宋体"/>
                <w:b/>
                <w:bCs/>
                <w:szCs w:val="21"/>
              </w:rPr>
              <w:t>环境保护措施</w:t>
            </w:r>
          </w:p>
        </w:tc>
        <w:tc>
          <w:tcPr>
            <w:tcW w:w="2868" w:type="dxa"/>
            <w:vAlign w:val="center"/>
          </w:tcPr>
          <w:p>
            <w:pPr>
              <w:adjustRightInd w:val="0"/>
              <w:snapToGrid w:val="0"/>
              <w:jc w:val="center"/>
              <w:rPr>
                <w:rFonts w:cs="宋体"/>
                <w:b/>
                <w:bCs/>
                <w:szCs w:val="21"/>
              </w:rPr>
            </w:pPr>
            <w:r>
              <w:rPr>
                <w:rFonts w:hint="eastAsia" w:cs="宋体"/>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restart"/>
            <w:vAlign w:val="center"/>
          </w:tcPr>
          <w:p>
            <w:pPr>
              <w:adjustRightInd w:val="0"/>
              <w:snapToGrid w:val="0"/>
              <w:jc w:val="center"/>
              <w:rPr>
                <w:rFonts w:cs="宋体"/>
                <w:szCs w:val="21"/>
              </w:rPr>
            </w:pPr>
            <w:r>
              <w:rPr>
                <w:rFonts w:hint="eastAsia" w:cs="宋体"/>
                <w:szCs w:val="21"/>
              </w:rPr>
              <w:t>大气环境</w:t>
            </w:r>
          </w:p>
        </w:tc>
        <w:tc>
          <w:tcPr>
            <w:tcW w:w="1417" w:type="dxa"/>
            <w:gridSpan w:val="2"/>
            <w:vAlign w:val="center"/>
          </w:tcPr>
          <w:p>
            <w:pPr>
              <w:adjustRightInd w:val="0"/>
              <w:snapToGrid w:val="0"/>
              <w:jc w:val="center"/>
              <w:rPr>
                <w:rFonts w:cs="宋体"/>
                <w:szCs w:val="21"/>
              </w:rPr>
            </w:pPr>
            <w:r>
              <w:rPr>
                <w:rFonts w:hint="eastAsia" w:cs="宋体"/>
                <w:szCs w:val="21"/>
              </w:rPr>
              <w:t>灭菌废气</w:t>
            </w:r>
          </w:p>
        </w:tc>
        <w:tc>
          <w:tcPr>
            <w:tcW w:w="1559" w:type="dxa"/>
            <w:vAlign w:val="center"/>
          </w:tcPr>
          <w:p>
            <w:pPr>
              <w:adjustRightInd w:val="0"/>
              <w:snapToGrid w:val="0"/>
              <w:jc w:val="center"/>
              <w:rPr>
                <w:rFonts w:cs="宋体"/>
                <w:szCs w:val="21"/>
              </w:rPr>
            </w:pPr>
            <w:r>
              <w:rPr>
                <w:rFonts w:hint="eastAsia" w:cs="宋体"/>
                <w:szCs w:val="21"/>
              </w:rPr>
              <w:t>非甲烷总烃</w:t>
            </w:r>
          </w:p>
        </w:tc>
        <w:tc>
          <w:tcPr>
            <w:tcW w:w="1985" w:type="dxa"/>
            <w:vAlign w:val="center"/>
          </w:tcPr>
          <w:p>
            <w:pPr>
              <w:adjustRightInd w:val="0"/>
              <w:snapToGrid w:val="0"/>
              <w:jc w:val="center"/>
              <w:rPr>
                <w:rFonts w:cs="宋体"/>
                <w:szCs w:val="21"/>
              </w:rPr>
            </w:pPr>
            <w:r>
              <w:rPr>
                <w:rFonts w:hint="eastAsia" w:cs="宋体"/>
                <w:szCs w:val="21"/>
              </w:rPr>
              <w:t>负压密闭管道（</w:t>
            </w:r>
            <w:r>
              <w:rPr>
                <w:rFonts w:cs="宋体"/>
                <w:szCs w:val="21"/>
              </w:rPr>
              <w:t>1</w:t>
            </w:r>
            <w:r>
              <w:rPr>
                <w:rFonts w:hint="eastAsia" w:cs="宋体"/>
                <w:szCs w:val="21"/>
              </w:rPr>
              <w:t>套）+水喷淋装置（</w:t>
            </w:r>
            <w:r>
              <w:rPr>
                <w:rFonts w:cs="宋体"/>
                <w:szCs w:val="21"/>
              </w:rPr>
              <w:t>1</w:t>
            </w:r>
            <w:r>
              <w:rPr>
                <w:rFonts w:hint="eastAsia" w:cs="宋体"/>
                <w:szCs w:val="21"/>
              </w:rPr>
              <w:t>套）+</w:t>
            </w:r>
            <w:r>
              <w:rPr>
                <w:rFonts w:cs="宋体"/>
                <w:szCs w:val="21"/>
              </w:rPr>
              <w:t>15</w:t>
            </w:r>
            <w:r>
              <w:rPr>
                <w:rFonts w:hint="eastAsia" w:cs="宋体"/>
                <w:szCs w:val="21"/>
              </w:rPr>
              <w:t>m高排气筒P</w:t>
            </w:r>
            <w:r>
              <w:rPr>
                <w:rFonts w:cs="宋体"/>
                <w:szCs w:val="21"/>
              </w:rPr>
              <w:t>2</w:t>
            </w:r>
            <w:r>
              <w:rPr>
                <w:rFonts w:hint="eastAsia" w:cs="宋体"/>
                <w:szCs w:val="21"/>
              </w:rPr>
              <w:t>（</w:t>
            </w:r>
            <w:r>
              <w:rPr>
                <w:rFonts w:cs="宋体"/>
                <w:szCs w:val="21"/>
              </w:rPr>
              <w:t>1</w:t>
            </w:r>
            <w:r>
              <w:rPr>
                <w:rFonts w:hint="eastAsia" w:cs="宋体"/>
                <w:szCs w:val="21"/>
              </w:rPr>
              <w:t>根）</w:t>
            </w:r>
          </w:p>
        </w:tc>
        <w:tc>
          <w:tcPr>
            <w:tcW w:w="2868" w:type="dxa"/>
            <w:vAlign w:val="center"/>
          </w:tcPr>
          <w:p>
            <w:pPr>
              <w:adjustRightInd w:val="0"/>
              <w:snapToGrid w:val="0"/>
              <w:jc w:val="center"/>
              <w:rPr>
                <w:rFonts w:cs="宋体"/>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号）附件1医药制造工业</w:t>
            </w:r>
            <w:r>
              <w:rPr>
                <w:color w:val="000000"/>
                <w:szCs w:val="21"/>
              </w:rPr>
              <w:t>中</w:t>
            </w:r>
            <w:r>
              <w:rPr>
                <w:rFonts w:hint="eastAsia"/>
                <w:color w:val="000000"/>
                <w:szCs w:val="21"/>
              </w:rPr>
              <w:t>非甲烷总烃</w:t>
            </w:r>
            <w:r>
              <w:rPr>
                <w:color w:val="000000"/>
                <w:szCs w:val="21"/>
              </w:rPr>
              <w:t>有组织排放60mg/m</w:t>
            </w:r>
            <w:r>
              <w:rPr>
                <w:color w:val="000000"/>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zCs w:val="21"/>
              </w:rPr>
            </w:pPr>
          </w:p>
        </w:tc>
        <w:tc>
          <w:tcPr>
            <w:tcW w:w="567" w:type="dxa"/>
            <w:vAlign w:val="center"/>
          </w:tcPr>
          <w:p>
            <w:pPr>
              <w:adjustRightInd w:val="0"/>
              <w:snapToGrid w:val="0"/>
              <w:jc w:val="center"/>
              <w:rPr>
                <w:rFonts w:cs="宋体"/>
                <w:szCs w:val="21"/>
              </w:rPr>
            </w:pPr>
            <w:r>
              <w:rPr>
                <w:rFonts w:hint="eastAsia" w:cs="宋体"/>
                <w:szCs w:val="21"/>
              </w:rPr>
              <w:t>无组织废气</w:t>
            </w:r>
          </w:p>
        </w:tc>
        <w:tc>
          <w:tcPr>
            <w:tcW w:w="850" w:type="dxa"/>
            <w:vAlign w:val="center"/>
          </w:tcPr>
          <w:p>
            <w:pPr>
              <w:adjustRightInd w:val="0"/>
              <w:snapToGrid w:val="0"/>
              <w:jc w:val="center"/>
              <w:rPr>
                <w:rFonts w:cs="宋体"/>
                <w:szCs w:val="21"/>
              </w:rPr>
            </w:pPr>
            <w:r>
              <w:rPr>
                <w:color w:val="000000"/>
              </w:rPr>
              <w:t>生产车间</w:t>
            </w:r>
            <w:r>
              <w:rPr>
                <w:rFonts w:hint="eastAsia"/>
                <w:color w:val="000000"/>
              </w:rPr>
              <w:t>、解析室</w:t>
            </w:r>
          </w:p>
        </w:tc>
        <w:tc>
          <w:tcPr>
            <w:tcW w:w="1559" w:type="dxa"/>
            <w:vAlign w:val="center"/>
          </w:tcPr>
          <w:p>
            <w:pPr>
              <w:adjustRightInd w:val="0"/>
              <w:snapToGrid w:val="0"/>
              <w:jc w:val="center"/>
              <w:rPr>
                <w:rFonts w:cs="宋体"/>
                <w:szCs w:val="21"/>
              </w:rPr>
            </w:pPr>
            <w:r>
              <w:rPr>
                <w:rFonts w:hint="eastAsia" w:cs="宋体"/>
                <w:szCs w:val="21"/>
              </w:rPr>
              <w:t>非甲烷总烃</w:t>
            </w:r>
          </w:p>
        </w:tc>
        <w:tc>
          <w:tcPr>
            <w:tcW w:w="1985" w:type="dxa"/>
            <w:vAlign w:val="center"/>
          </w:tcPr>
          <w:p>
            <w:pPr>
              <w:adjustRightInd w:val="0"/>
              <w:snapToGrid w:val="0"/>
              <w:jc w:val="center"/>
              <w:rPr>
                <w:rFonts w:cs="宋体"/>
                <w:szCs w:val="21"/>
              </w:rPr>
            </w:pPr>
            <w:r>
              <w:rPr>
                <w:rFonts w:hint="eastAsia" w:cs="宋体"/>
                <w:szCs w:val="21"/>
              </w:rPr>
              <w:t>车间密闭</w:t>
            </w:r>
          </w:p>
        </w:tc>
        <w:tc>
          <w:tcPr>
            <w:tcW w:w="2868" w:type="dxa"/>
            <w:vAlign w:val="center"/>
          </w:tcPr>
          <w:p>
            <w:pPr>
              <w:adjustRightInd w:val="0"/>
              <w:snapToGrid w:val="0"/>
              <w:jc w:val="center"/>
              <w:rPr>
                <w:rFonts w:cs="宋体"/>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号）附件2：工业企业边界非甲烷总烃2</w:t>
            </w:r>
            <w:r>
              <w:rPr>
                <w:bCs/>
                <w:color w:val="000000"/>
                <w:szCs w:val="21"/>
              </w:rPr>
              <w:t>.0mg/m</w:t>
            </w:r>
            <w:r>
              <w:rPr>
                <w:bCs/>
                <w:color w:val="000000"/>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zCs w:val="21"/>
              </w:rPr>
            </w:pPr>
            <w:r>
              <w:rPr>
                <w:rFonts w:hint="eastAsia" w:cs="宋体"/>
                <w:szCs w:val="21"/>
              </w:rPr>
              <w:t>地表水环境</w:t>
            </w:r>
          </w:p>
        </w:tc>
        <w:tc>
          <w:tcPr>
            <w:tcW w:w="1417" w:type="dxa"/>
            <w:gridSpan w:val="2"/>
            <w:vAlign w:val="center"/>
          </w:tcPr>
          <w:p>
            <w:pPr>
              <w:pStyle w:val="39"/>
              <w:rPr>
                <w:color w:val="000000"/>
                <w:lang w:val="en-US"/>
              </w:rPr>
            </w:pPr>
            <w:r>
              <w:rPr>
                <w:color w:val="000000"/>
                <w:lang w:val="en-US"/>
              </w:rPr>
              <w:t>生活污水</w:t>
            </w:r>
          </w:p>
        </w:tc>
        <w:tc>
          <w:tcPr>
            <w:tcW w:w="1559" w:type="dxa"/>
            <w:vAlign w:val="center"/>
          </w:tcPr>
          <w:p>
            <w:pPr>
              <w:pStyle w:val="39"/>
              <w:rPr>
                <w:color w:val="000000"/>
                <w:lang w:val="en-US"/>
              </w:rPr>
            </w:pPr>
            <w:r>
              <w:rPr>
                <w:color w:val="000000"/>
                <w:lang w:val="en-US"/>
              </w:rPr>
              <w:t>COD、NH</w:t>
            </w:r>
            <w:r>
              <w:rPr>
                <w:color w:val="000000"/>
                <w:vertAlign w:val="subscript"/>
                <w:lang w:val="en-US"/>
              </w:rPr>
              <w:t>3</w:t>
            </w:r>
            <w:r>
              <w:rPr>
                <w:color w:val="000000"/>
                <w:lang w:val="en-US"/>
              </w:rPr>
              <w:t>-N、SS、TN、TP</w:t>
            </w:r>
          </w:p>
        </w:tc>
        <w:tc>
          <w:tcPr>
            <w:tcW w:w="1985" w:type="dxa"/>
            <w:vAlign w:val="center"/>
          </w:tcPr>
          <w:p>
            <w:pPr>
              <w:pStyle w:val="39"/>
              <w:rPr>
                <w:color w:val="000000"/>
                <w:lang w:val="en-US"/>
              </w:rPr>
            </w:pPr>
            <w:r>
              <w:rPr>
                <w:color w:val="000000"/>
                <w:lang w:val="en-US"/>
              </w:rPr>
              <w:t>化粪池1座</w:t>
            </w:r>
          </w:p>
        </w:tc>
        <w:tc>
          <w:tcPr>
            <w:tcW w:w="2868" w:type="dxa"/>
            <w:vAlign w:val="center"/>
          </w:tcPr>
          <w:p>
            <w:pPr>
              <w:adjustRightInd w:val="0"/>
              <w:snapToGrid w:val="0"/>
              <w:jc w:val="center"/>
              <w:rPr>
                <w:rFonts w:cs="宋体"/>
                <w:szCs w:val="21"/>
              </w:rPr>
            </w:pPr>
            <w:r>
              <w:rPr>
                <w:rFonts w:hint="eastAsia" w:cs="宋体"/>
                <w:szCs w:val="21"/>
              </w:rPr>
              <w:t>获嘉县亢村污水处理厂收水标准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zCs w:val="21"/>
              </w:rPr>
            </w:pPr>
            <w:r>
              <w:rPr>
                <w:rFonts w:hint="eastAsia" w:cs="宋体"/>
                <w:szCs w:val="21"/>
              </w:rPr>
              <w:t>声环境</w:t>
            </w:r>
          </w:p>
        </w:tc>
        <w:tc>
          <w:tcPr>
            <w:tcW w:w="1417" w:type="dxa"/>
            <w:gridSpan w:val="2"/>
            <w:vAlign w:val="center"/>
          </w:tcPr>
          <w:p>
            <w:pPr>
              <w:adjustRightInd w:val="0"/>
              <w:snapToGrid w:val="0"/>
              <w:jc w:val="center"/>
              <w:rPr>
                <w:rFonts w:cs="宋体"/>
                <w:szCs w:val="21"/>
              </w:rPr>
            </w:pPr>
            <w:r>
              <w:rPr>
                <w:rFonts w:hint="eastAsia" w:cs="宋体"/>
                <w:szCs w:val="21"/>
              </w:rPr>
              <w:t>平面口罩全自动口罩机、封口机等</w:t>
            </w:r>
          </w:p>
        </w:tc>
        <w:tc>
          <w:tcPr>
            <w:tcW w:w="1559" w:type="dxa"/>
            <w:vAlign w:val="center"/>
          </w:tcPr>
          <w:p>
            <w:pPr>
              <w:jc w:val="center"/>
              <w:rPr>
                <w:color w:val="000000"/>
                <w:szCs w:val="21"/>
              </w:rPr>
            </w:pPr>
            <w:r>
              <w:rPr>
                <w:color w:val="000000"/>
                <w:szCs w:val="21"/>
              </w:rPr>
              <w:t>噪声</w:t>
            </w:r>
          </w:p>
        </w:tc>
        <w:tc>
          <w:tcPr>
            <w:tcW w:w="1985" w:type="dxa"/>
            <w:vAlign w:val="center"/>
          </w:tcPr>
          <w:p>
            <w:pPr>
              <w:jc w:val="center"/>
              <w:rPr>
                <w:color w:val="000000"/>
                <w:szCs w:val="21"/>
              </w:rPr>
            </w:pPr>
            <w:r>
              <w:rPr>
                <w:color w:val="000000"/>
                <w:szCs w:val="21"/>
              </w:rPr>
              <w:t>基础减振、厂房隔声等</w:t>
            </w:r>
          </w:p>
        </w:tc>
        <w:tc>
          <w:tcPr>
            <w:tcW w:w="2868" w:type="dxa"/>
            <w:vAlign w:val="center"/>
          </w:tcPr>
          <w:p>
            <w:pPr>
              <w:adjustRightInd w:val="0"/>
              <w:snapToGrid w:val="0"/>
              <w:jc w:val="center"/>
              <w:rPr>
                <w:color w:val="000000"/>
                <w:szCs w:val="21"/>
              </w:rPr>
            </w:pPr>
            <w:r>
              <w:rPr>
                <w:color w:val="000000"/>
                <w:szCs w:val="21"/>
              </w:rPr>
              <w:t>《工业企业厂界环境噪声排放标准》（GB12348-2008）3类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zCs w:val="21"/>
              </w:rPr>
            </w:pPr>
            <w:r>
              <w:rPr>
                <w:rFonts w:hint="eastAsia" w:cs="宋体"/>
                <w:szCs w:val="21"/>
              </w:rPr>
              <w:t>电磁辐射</w:t>
            </w:r>
          </w:p>
        </w:tc>
        <w:tc>
          <w:tcPr>
            <w:tcW w:w="1417" w:type="dxa"/>
            <w:gridSpan w:val="2"/>
            <w:vAlign w:val="center"/>
          </w:tcPr>
          <w:p>
            <w:pPr>
              <w:adjustRightInd w:val="0"/>
              <w:snapToGrid w:val="0"/>
              <w:jc w:val="center"/>
              <w:rPr>
                <w:rFonts w:cs="宋体"/>
                <w:szCs w:val="21"/>
              </w:rPr>
            </w:pPr>
            <w:r>
              <w:rPr>
                <w:rFonts w:hint="eastAsia" w:cs="宋体"/>
                <w:szCs w:val="21"/>
              </w:rPr>
              <w:t>/</w:t>
            </w:r>
          </w:p>
        </w:tc>
        <w:tc>
          <w:tcPr>
            <w:tcW w:w="1559" w:type="dxa"/>
            <w:vAlign w:val="center"/>
          </w:tcPr>
          <w:p>
            <w:pPr>
              <w:adjustRightInd w:val="0"/>
              <w:snapToGrid w:val="0"/>
              <w:jc w:val="center"/>
              <w:rPr>
                <w:rFonts w:cs="宋体"/>
                <w:szCs w:val="21"/>
              </w:rPr>
            </w:pPr>
            <w:r>
              <w:rPr>
                <w:rFonts w:hint="eastAsia" w:cs="宋体"/>
                <w:szCs w:val="21"/>
              </w:rPr>
              <w:t>/</w:t>
            </w:r>
          </w:p>
        </w:tc>
        <w:tc>
          <w:tcPr>
            <w:tcW w:w="1985" w:type="dxa"/>
            <w:vAlign w:val="center"/>
          </w:tcPr>
          <w:p>
            <w:pPr>
              <w:adjustRightInd w:val="0"/>
              <w:snapToGrid w:val="0"/>
              <w:jc w:val="center"/>
              <w:rPr>
                <w:rFonts w:cs="宋体"/>
                <w:szCs w:val="21"/>
              </w:rPr>
            </w:pPr>
            <w:r>
              <w:rPr>
                <w:rFonts w:hint="eastAsia" w:cs="宋体"/>
                <w:szCs w:val="21"/>
              </w:rPr>
              <w:t>/</w:t>
            </w:r>
          </w:p>
        </w:tc>
        <w:tc>
          <w:tcPr>
            <w:tcW w:w="2868" w:type="dxa"/>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restart"/>
            <w:vAlign w:val="center"/>
          </w:tcPr>
          <w:p>
            <w:pPr>
              <w:adjustRightInd w:val="0"/>
              <w:snapToGrid w:val="0"/>
              <w:jc w:val="center"/>
              <w:rPr>
                <w:rFonts w:cs="宋体"/>
                <w:szCs w:val="21"/>
              </w:rPr>
            </w:pPr>
            <w:r>
              <w:rPr>
                <w:rFonts w:hint="eastAsia" w:cs="宋体"/>
                <w:szCs w:val="21"/>
              </w:rPr>
              <w:t>固体废物</w:t>
            </w:r>
          </w:p>
        </w:tc>
        <w:tc>
          <w:tcPr>
            <w:tcW w:w="1417" w:type="dxa"/>
            <w:gridSpan w:val="2"/>
            <w:vAlign w:val="center"/>
          </w:tcPr>
          <w:p>
            <w:pPr>
              <w:adjustRightInd w:val="0"/>
              <w:snapToGrid w:val="0"/>
              <w:jc w:val="center"/>
              <w:rPr>
                <w:rFonts w:cs="宋体"/>
                <w:szCs w:val="21"/>
              </w:rPr>
            </w:pPr>
            <w:r>
              <w:rPr>
                <w:rFonts w:hint="eastAsia"/>
                <w:color w:val="000000"/>
              </w:rPr>
              <w:t>内包装工序、袋装原料使用</w:t>
            </w:r>
          </w:p>
        </w:tc>
        <w:tc>
          <w:tcPr>
            <w:tcW w:w="1559" w:type="dxa"/>
            <w:vAlign w:val="center"/>
          </w:tcPr>
          <w:p>
            <w:pPr>
              <w:adjustRightInd w:val="0"/>
              <w:snapToGrid w:val="0"/>
              <w:jc w:val="center"/>
              <w:rPr>
                <w:rFonts w:cs="宋体"/>
                <w:szCs w:val="21"/>
              </w:rPr>
            </w:pPr>
            <w:r>
              <w:rPr>
                <w:rFonts w:hint="eastAsia"/>
                <w:color w:val="000000"/>
              </w:rPr>
              <w:t>废包装袋</w:t>
            </w:r>
          </w:p>
        </w:tc>
        <w:tc>
          <w:tcPr>
            <w:tcW w:w="1985" w:type="dxa"/>
            <w:vMerge w:val="restart"/>
            <w:vAlign w:val="center"/>
          </w:tcPr>
          <w:p>
            <w:pPr>
              <w:adjustRightInd w:val="0"/>
              <w:snapToGrid w:val="0"/>
              <w:jc w:val="center"/>
              <w:rPr>
                <w:rFonts w:cs="宋体"/>
                <w:szCs w:val="21"/>
              </w:rPr>
            </w:pPr>
            <w:r>
              <w:rPr>
                <w:rFonts w:cs="宋体"/>
                <w:szCs w:val="21"/>
              </w:rPr>
              <w:t>一般固废</w:t>
            </w:r>
            <w:r>
              <w:rPr>
                <w:rFonts w:hint="eastAsia" w:cs="宋体"/>
                <w:szCs w:val="21"/>
              </w:rPr>
              <w:t>暂存间</w:t>
            </w:r>
            <w:r>
              <w:rPr>
                <w:rFonts w:cs="宋体"/>
                <w:szCs w:val="21"/>
              </w:rPr>
              <w:t>1座（</w:t>
            </w:r>
            <w:r>
              <w:rPr>
                <w:rFonts w:hint="eastAsia" w:cs="宋体"/>
                <w:szCs w:val="21"/>
              </w:rPr>
              <w:t>不小于1</w:t>
            </w:r>
            <w:r>
              <w:rPr>
                <w:rFonts w:cs="宋体"/>
                <w:szCs w:val="21"/>
              </w:rPr>
              <w:t>0m</w:t>
            </w:r>
            <w:r>
              <w:rPr>
                <w:rFonts w:cs="宋体"/>
                <w:szCs w:val="21"/>
                <w:vertAlign w:val="superscript"/>
              </w:rPr>
              <w:t>2</w:t>
            </w:r>
            <w:r>
              <w:rPr>
                <w:rFonts w:cs="宋体"/>
                <w:szCs w:val="21"/>
              </w:rPr>
              <w:t>）</w:t>
            </w:r>
          </w:p>
        </w:tc>
        <w:tc>
          <w:tcPr>
            <w:tcW w:w="2868" w:type="dxa"/>
            <w:vMerge w:val="restart"/>
            <w:vAlign w:val="center"/>
          </w:tcPr>
          <w:p>
            <w:pPr>
              <w:adjustRightInd w:val="0"/>
              <w:snapToGrid w:val="0"/>
              <w:jc w:val="center"/>
              <w:rPr>
                <w:rFonts w:cs="宋体"/>
                <w:szCs w:val="21"/>
              </w:rPr>
            </w:pPr>
            <w:r>
              <w:rPr>
                <w:rFonts w:hint="eastAsia" w:cs="宋体"/>
                <w:szCs w:val="21"/>
              </w:rPr>
              <w:t>《一般工业固体废物贮存和填埋污染控制标准》（GB18599-2020）中“防渗漏、防雨淋、防扬尘”三防要求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zCs w:val="21"/>
              </w:rPr>
            </w:pPr>
          </w:p>
        </w:tc>
        <w:tc>
          <w:tcPr>
            <w:tcW w:w="1417" w:type="dxa"/>
            <w:gridSpan w:val="2"/>
            <w:vAlign w:val="center"/>
          </w:tcPr>
          <w:p>
            <w:pPr>
              <w:adjustRightInd w:val="0"/>
              <w:snapToGrid w:val="0"/>
              <w:jc w:val="center"/>
              <w:rPr>
                <w:rFonts w:cs="宋体"/>
                <w:szCs w:val="21"/>
              </w:rPr>
            </w:pPr>
            <w:r>
              <w:rPr>
                <w:rFonts w:hint="eastAsia"/>
                <w:color w:val="000000"/>
              </w:rPr>
              <w:t>切片工序</w:t>
            </w:r>
          </w:p>
        </w:tc>
        <w:tc>
          <w:tcPr>
            <w:tcW w:w="1559" w:type="dxa"/>
            <w:vAlign w:val="center"/>
          </w:tcPr>
          <w:p>
            <w:pPr>
              <w:adjustRightInd w:val="0"/>
              <w:snapToGrid w:val="0"/>
              <w:jc w:val="center"/>
              <w:rPr>
                <w:rFonts w:cs="宋体"/>
                <w:szCs w:val="21"/>
              </w:rPr>
            </w:pPr>
            <w:r>
              <w:rPr>
                <w:rFonts w:hint="eastAsia"/>
                <w:color w:val="000000"/>
              </w:rPr>
              <w:t>不合格面罩</w:t>
            </w:r>
          </w:p>
        </w:tc>
        <w:tc>
          <w:tcPr>
            <w:tcW w:w="1985" w:type="dxa"/>
            <w:vMerge w:val="continue"/>
            <w:vAlign w:val="center"/>
          </w:tcPr>
          <w:p>
            <w:pPr>
              <w:adjustRightInd w:val="0"/>
              <w:snapToGrid w:val="0"/>
              <w:jc w:val="center"/>
              <w:rPr>
                <w:rFonts w:cs="宋体"/>
                <w:szCs w:val="21"/>
              </w:rPr>
            </w:pPr>
          </w:p>
        </w:tc>
        <w:tc>
          <w:tcPr>
            <w:tcW w:w="2868"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zCs w:val="21"/>
              </w:rPr>
            </w:pPr>
          </w:p>
        </w:tc>
        <w:tc>
          <w:tcPr>
            <w:tcW w:w="1417" w:type="dxa"/>
            <w:gridSpan w:val="2"/>
            <w:vAlign w:val="center"/>
          </w:tcPr>
          <w:p>
            <w:pPr>
              <w:adjustRightInd w:val="0"/>
              <w:snapToGrid w:val="0"/>
              <w:jc w:val="center"/>
              <w:rPr>
                <w:rFonts w:cs="宋体"/>
                <w:szCs w:val="21"/>
              </w:rPr>
            </w:pPr>
            <w:r>
              <w:rPr>
                <w:rFonts w:hint="eastAsia"/>
                <w:color w:val="000000"/>
              </w:rPr>
              <w:t>成品检验工序</w:t>
            </w:r>
          </w:p>
        </w:tc>
        <w:tc>
          <w:tcPr>
            <w:tcW w:w="1559" w:type="dxa"/>
            <w:vAlign w:val="center"/>
          </w:tcPr>
          <w:p>
            <w:pPr>
              <w:adjustRightInd w:val="0"/>
              <w:snapToGrid w:val="0"/>
              <w:jc w:val="center"/>
              <w:rPr>
                <w:rFonts w:cs="宋体"/>
                <w:szCs w:val="21"/>
              </w:rPr>
            </w:pPr>
            <w:r>
              <w:rPr>
                <w:rFonts w:hint="eastAsia"/>
                <w:color w:val="000000"/>
              </w:rPr>
              <w:t>废</w:t>
            </w:r>
            <w:r>
              <w:rPr>
                <w:color w:val="000000"/>
              </w:rPr>
              <w:t>面料</w:t>
            </w:r>
          </w:p>
        </w:tc>
        <w:tc>
          <w:tcPr>
            <w:tcW w:w="1985" w:type="dxa"/>
            <w:vMerge w:val="continue"/>
            <w:vAlign w:val="center"/>
          </w:tcPr>
          <w:p>
            <w:pPr>
              <w:adjustRightInd w:val="0"/>
              <w:snapToGrid w:val="0"/>
              <w:jc w:val="center"/>
              <w:rPr>
                <w:rFonts w:cs="宋体"/>
                <w:szCs w:val="21"/>
              </w:rPr>
            </w:pPr>
          </w:p>
        </w:tc>
        <w:tc>
          <w:tcPr>
            <w:tcW w:w="2868"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zCs w:val="21"/>
              </w:rPr>
            </w:pPr>
          </w:p>
        </w:tc>
        <w:tc>
          <w:tcPr>
            <w:tcW w:w="1417" w:type="dxa"/>
            <w:gridSpan w:val="2"/>
            <w:vAlign w:val="center"/>
          </w:tcPr>
          <w:p>
            <w:pPr>
              <w:adjustRightInd w:val="0"/>
              <w:snapToGrid w:val="0"/>
              <w:jc w:val="center"/>
              <w:rPr>
                <w:rFonts w:cs="宋体"/>
                <w:szCs w:val="21"/>
              </w:rPr>
            </w:pPr>
            <w:r>
              <w:rPr>
                <w:rFonts w:hint="eastAsia"/>
                <w:color w:val="000000"/>
              </w:rPr>
              <w:t>水喷淋装置</w:t>
            </w:r>
          </w:p>
        </w:tc>
        <w:tc>
          <w:tcPr>
            <w:tcW w:w="1559" w:type="dxa"/>
            <w:vAlign w:val="center"/>
          </w:tcPr>
          <w:p>
            <w:pPr>
              <w:adjustRightInd w:val="0"/>
              <w:snapToGrid w:val="0"/>
              <w:jc w:val="center"/>
              <w:rPr>
                <w:rFonts w:cs="宋体"/>
                <w:szCs w:val="21"/>
              </w:rPr>
            </w:pPr>
            <w:r>
              <w:rPr>
                <w:rFonts w:hint="eastAsia"/>
                <w:color w:val="000000"/>
              </w:rPr>
              <w:t>废环氧乙烷吸收液</w:t>
            </w:r>
          </w:p>
        </w:tc>
        <w:tc>
          <w:tcPr>
            <w:tcW w:w="1985" w:type="dxa"/>
            <w:vAlign w:val="center"/>
          </w:tcPr>
          <w:p>
            <w:pPr>
              <w:adjustRightInd w:val="0"/>
              <w:snapToGrid w:val="0"/>
              <w:jc w:val="center"/>
              <w:rPr>
                <w:rFonts w:cs="宋体"/>
                <w:szCs w:val="21"/>
              </w:rPr>
            </w:pPr>
            <w:r>
              <w:rPr>
                <w:rFonts w:cs="宋体"/>
                <w:szCs w:val="21"/>
              </w:rPr>
              <w:t>危废暂存间1座（</w:t>
            </w:r>
            <w:r>
              <w:rPr>
                <w:rFonts w:hint="eastAsia" w:cs="宋体"/>
                <w:szCs w:val="21"/>
              </w:rPr>
              <w:t>不小于5</w:t>
            </w:r>
            <w:r>
              <w:rPr>
                <w:rFonts w:cs="宋体"/>
                <w:szCs w:val="21"/>
              </w:rPr>
              <w:t>m</w:t>
            </w:r>
            <w:r>
              <w:rPr>
                <w:rFonts w:cs="宋体"/>
                <w:szCs w:val="21"/>
                <w:vertAlign w:val="superscript"/>
              </w:rPr>
              <w:t>2</w:t>
            </w:r>
            <w:r>
              <w:rPr>
                <w:rFonts w:cs="宋体"/>
                <w:szCs w:val="21"/>
              </w:rPr>
              <w:t>）</w:t>
            </w:r>
          </w:p>
        </w:tc>
        <w:tc>
          <w:tcPr>
            <w:tcW w:w="2868" w:type="dxa"/>
            <w:vAlign w:val="center"/>
          </w:tcPr>
          <w:p>
            <w:pPr>
              <w:adjustRightInd w:val="0"/>
              <w:snapToGrid w:val="0"/>
              <w:jc w:val="center"/>
              <w:rPr>
                <w:rFonts w:cs="宋体"/>
                <w:szCs w:val="21"/>
              </w:rPr>
            </w:pPr>
            <w:r>
              <w:rPr>
                <w:rFonts w:hint="eastAsia" w:cs="宋体"/>
                <w:szCs w:val="21"/>
              </w:rPr>
              <w:t>《危险废物贮存污染控制标准》（GB18597-2001）及其2013修改单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zCs w:val="21"/>
              </w:rPr>
            </w:pPr>
            <w:r>
              <w:rPr>
                <w:rFonts w:hint="eastAsia" w:cs="宋体"/>
                <w:szCs w:val="21"/>
              </w:rPr>
              <w:t>土壤及地下水污染防治措施</w:t>
            </w:r>
          </w:p>
        </w:tc>
        <w:tc>
          <w:tcPr>
            <w:tcW w:w="7829" w:type="dxa"/>
            <w:gridSpan w:val="5"/>
            <w:vAlign w:val="center"/>
          </w:tcPr>
          <w:p>
            <w:pPr>
              <w:adjustRightInd w:val="0"/>
              <w:snapToGrid w:val="0"/>
              <w:jc w:val="center"/>
              <w:rPr>
                <w:rFonts w:cs="宋体"/>
                <w:szCs w:val="21"/>
              </w:rPr>
            </w:pPr>
            <w:r>
              <w:rPr>
                <w:rFonts w:hint="eastAsia"/>
                <w:bCs/>
                <w:szCs w:val="21"/>
              </w:rPr>
              <w:t>危险废物采用密闭容器盛装，并置于托盘上，确保不渗漏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zCs w:val="21"/>
              </w:rPr>
            </w:pPr>
            <w:r>
              <w:rPr>
                <w:rFonts w:hint="eastAsia" w:cs="宋体"/>
                <w:szCs w:val="21"/>
              </w:rPr>
              <w:t>生态保护措施</w:t>
            </w:r>
          </w:p>
        </w:tc>
        <w:tc>
          <w:tcPr>
            <w:tcW w:w="7829" w:type="dxa"/>
            <w:gridSpan w:val="5"/>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Align w:val="center"/>
          </w:tcPr>
          <w:p>
            <w:pPr>
              <w:adjustRightInd w:val="0"/>
              <w:snapToGrid w:val="0"/>
              <w:jc w:val="center"/>
              <w:rPr>
                <w:rFonts w:cs="宋体"/>
                <w:spacing w:val="-8"/>
                <w:szCs w:val="21"/>
              </w:rPr>
            </w:pPr>
            <w:r>
              <w:rPr>
                <w:rFonts w:hint="eastAsia" w:cs="宋体"/>
                <w:spacing w:val="-8"/>
                <w:szCs w:val="21"/>
              </w:rPr>
              <w:t>环境风险</w:t>
            </w:r>
          </w:p>
          <w:p>
            <w:pPr>
              <w:adjustRightInd w:val="0"/>
              <w:snapToGrid w:val="0"/>
              <w:jc w:val="center"/>
              <w:rPr>
                <w:rFonts w:cs="宋体"/>
                <w:spacing w:val="-8"/>
                <w:szCs w:val="21"/>
              </w:rPr>
            </w:pPr>
            <w:r>
              <w:rPr>
                <w:rFonts w:hint="eastAsia" w:cs="宋体"/>
                <w:spacing w:val="-8"/>
                <w:szCs w:val="21"/>
              </w:rPr>
              <w:t>防范措施</w:t>
            </w:r>
          </w:p>
        </w:tc>
        <w:tc>
          <w:tcPr>
            <w:tcW w:w="7829" w:type="dxa"/>
            <w:gridSpan w:val="5"/>
            <w:vAlign w:val="center"/>
          </w:tcPr>
          <w:p>
            <w:pPr>
              <w:pStyle w:val="8"/>
              <w:snapToGrid w:val="0"/>
              <w:spacing w:line="240" w:lineRule="auto"/>
              <w:ind w:left="0" w:right="0" w:firstLine="0"/>
              <w:rPr>
                <w:sz w:val="21"/>
                <w:szCs w:val="21"/>
              </w:rPr>
            </w:pPr>
            <w:r>
              <w:rPr>
                <w:sz w:val="21"/>
                <w:szCs w:val="21"/>
              </w:rPr>
              <w:t>1</w:t>
            </w:r>
            <w:r>
              <w:rPr>
                <w:rFonts w:hint="eastAsia"/>
                <w:sz w:val="21"/>
                <w:szCs w:val="21"/>
              </w:rPr>
              <w:t>.贮存的化学品设置明显的符合国家相关规定的标志；</w:t>
            </w:r>
          </w:p>
          <w:p>
            <w:pPr>
              <w:pStyle w:val="8"/>
              <w:snapToGrid w:val="0"/>
              <w:spacing w:line="240" w:lineRule="auto"/>
              <w:ind w:left="0" w:right="0" w:firstLine="0"/>
              <w:rPr>
                <w:sz w:val="21"/>
                <w:szCs w:val="21"/>
              </w:rPr>
            </w:pPr>
            <w:r>
              <w:rPr>
                <w:sz w:val="21"/>
                <w:szCs w:val="21"/>
              </w:rPr>
              <w:t>2</w:t>
            </w:r>
            <w:r>
              <w:rPr>
                <w:rFonts w:hint="eastAsia"/>
                <w:sz w:val="21"/>
                <w:szCs w:val="21"/>
              </w:rPr>
              <w:t>.环氧乙烷</w:t>
            </w:r>
            <w:r>
              <w:rPr>
                <w:sz w:val="21"/>
                <w:szCs w:val="21"/>
              </w:rPr>
              <w:t>在密闭危险品仓库内储存</w:t>
            </w:r>
            <w:r>
              <w:rPr>
                <w:rFonts w:hint="eastAsia"/>
                <w:sz w:val="21"/>
                <w:szCs w:val="21"/>
              </w:rPr>
              <w:t>周围设置阻燃材料隔断。</w:t>
            </w:r>
          </w:p>
          <w:p>
            <w:pPr>
              <w:adjustRightInd w:val="0"/>
              <w:snapToGrid w:val="0"/>
              <w:rPr>
                <w:szCs w:val="21"/>
              </w:rPr>
            </w:pPr>
            <w:r>
              <w:rPr>
                <w:rFonts w:cs="宋体"/>
                <w:szCs w:val="21"/>
              </w:rPr>
              <w:t>3.</w:t>
            </w:r>
            <w:r>
              <w:rPr>
                <w:rFonts w:hint="eastAsia"/>
                <w:szCs w:val="21"/>
              </w:rPr>
              <w:t>厂内设置泡沫灭火器，增加职工消防安全学习</w:t>
            </w:r>
            <w:r>
              <w:rPr>
                <w:szCs w:val="21"/>
              </w:rPr>
              <w:t>。</w:t>
            </w:r>
          </w:p>
          <w:p>
            <w:pPr>
              <w:adjustRightInd w:val="0"/>
              <w:snapToGrid w:val="0"/>
              <w:rPr>
                <w:rFonts w:cs="宋体"/>
                <w:szCs w:val="21"/>
              </w:rPr>
            </w:pPr>
            <w:r>
              <w:rPr>
                <w:rFonts w:hint="eastAsia"/>
                <w:szCs w:val="21"/>
              </w:rPr>
              <w:t>4</w:t>
            </w:r>
            <w:r>
              <w:rPr>
                <w:szCs w:val="21"/>
              </w:rPr>
              <w:t>.</w:t>
            </w:r>
            <w:r>
              <w:rPr>
                <w:rFonts w:hint="eastAsia"/>
                <w:szCs w:val="21"/>
              </w:rPr>
              <w:t>环氧乙烷存放区设置报警装置，旁边设置应急水池，泄漏后将罐体送入水池内。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restart"/>
            <w:vAlign w:val="center"/>
          </w:tcPr>
          <w:p>
            <w:pPr>
              <w:adjustRightInd w:val="0"/>
              <w:snapToGrid w:val="0"/>
              <w:jc w:val="center"/>
              <w:rPr>
                <w:rFonts w:cs="宋体"/>
                <w:spacing w:val="-8"/>
                <w:szCs w:val="21"/>
              </w:rPr>
            </w:pPr>
            <w:r>
              <w:rPr>
                <w:rFonts w:hint="eastAsia" w:cs="宋体"/>
                <w:spacing w:val="-8"/>
                <w:szCs w:val="21"/>
              </w:rPr>
              <w:t>其他环境</w:t>
            </w:r>
          </w:p>
          <w:p>
            <w:pPr>
              <w:adjustRightInd w:val="0"/>
              <w:snapToGrid w:val="0"/>
              <w:jc w:val="center"/>
              <w:rPr>
                <w:rFonts w:cs="宋体"/>
                <w:spacing w:val="-8"/>
                <w:szCs w:val="21"/>
              </w:rPr>
            </w:pPr>
            <w:r>
              <w:rPr>
                <w:rFonts w:hint="eastAsia" w:cs="宋体"/>
                <w:spacing w:val="-8"/>
                <w:szCs w:val="21"/>
              </w:rPr>
              <w:t>管理要求</w:t>
            </w:r>
          </w:p>
        </w:tc>
        <w:tc>
          <w:tcPr>
            <w:tcW w:w="4961" w:type="dxa"/>
            <w:gridSpan w:val="4"/>
            <w:vAlign w:val="center"/>
          </w:tcPr>
          <w:p>
            <w:pPr>
              <w:adjustRightInd w:val="0"/>
              <w:snapToGrid w:val="0"/>
              <w:jc w:val="center"/>
              <w:rPr>
                <w:rFonts w:cs="宋体"/>
                <w:szCs w:val="21"/>
              </w:rPr>
            </w:pPr>
            <w:r>
              <w:rPr>
                <w:bCs/>
                <w:color w:val="000000"/>
                <w:szCs w:val="21"/>
              </w:rPr>
              <w:t>按照要求在</w:t>
            </w:r>
            <w:r>
              <w:rPr>
                <w:rFonts w:hint="eastAsia"/>
                <w:bCs/>
                <w:color w:val="000000"/>
                <w:szCs w:val="21"/>
              </w:rPr>
              <w:t>污染设施</w:t>
            </w:r>
            <w:r>
              <w:rPr>
                <w:bCs/>
                <w:color w:val="000000"/>
                <w:szCs w:val="21"/>
              </w:rPr>
              <w:t>排放口、监测取样处安装视频监控</w:t>
            </w:r>
            <w:r>
              <w:rPr>
                <w:rFonts w:hint="eastAsia"/>
                <w:bCs/>
                <w:color w:val="000000"/>
                <w:szCs w:val="21"/>
              </w:rPr>
              <w:t>（各1套），并与市局联网共享，视频监控数据保存三个月</w:t>
            </w:r>
          </w:p>
        </w:tc>
        <w:tc>
          <w:tcPr>
            <w:tcW w:w="2868" w:type="dxa"/>
            <w:vAlign w:val="center"/>
          </w:tcPr>
          <w:p>
            <w:pPr>
              <w:adjustRightInd w:val="0"/>
              <w:snapToGrid w:val="0"/>
              <w:jc w:val="center"/>
              <w:rPr>
                <w:rFonts w:cs="宋体"/>
                <w:szCs w:val="21"/>
              </w:rPr>
            </w:pPr>
            <w:r>
              <w:rPr>
                <w:rFonts w:hint="eastAsia"/>
                <w:bCs/>
                <w:color w:val="000000"/>
                <w:szCs w:val="21"/>
              </w:rPr>
              <w:t>《新乡市生态环境局关于安装工业企业视频监控系统的通知》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pacing w:val="-8"/>
                <w:szCs w:val="21"/>
              </w:rPr>
            </w:pPr>
          </w:p>
        </w:tc>
        <w:tc>
          <w:tcPr>
            <w:tcW w:w="4961" w:type="dxa"/>
            <w:gridSpan w:val="4"/>
            <w:vAlign w:val="center"/>
          </w:tcPr>
          <w:p>
            <w:pPr>
              <w:adjustRightInd w:val="0"/>
              <w:snapToGrid w:val="0"/>
              <w:jc w:val="center"/>
              <w:rPr>
                <w:rFonts w:cs="宋体"/>
                <w:szCs w:val="21"/>
              </w:rPr>
            </w:pPr>
            <w:r>
              <w:rPr>
                <w:bCs/>
                <w:color w:val="000000"/>
                <w:szCs w:val="21"/>
              </w:rPr>
              <w:t>按照要求在</w:t>
            </w:r>
            <w:r>
              <w:rPr>
                <w:color w:val="000000"/>
                <w:szCs w:val="21"/>
              </w:rPr>
              <w:t>总用电处、生产设施</w:t>
            </w:r>
            <w:r>
              <w:rPr>
                <w:rFonts w:hint="eastAsia"/>
                <w:color w:val="000000"/>
                <w:szCs w:val="21"/>
              </w:rPr>
              <w:t>、</w:t>
            </w:r>
            <w:r>
              <w:rPr>
                <w:color w:val="000000"/>
                <w:szCs w:val="21"/>
              </w:rPr>
              <w:t>废气处理设施处安装用电监控设施</w:t>
            </w:r>
            <w:r>
              <w:rPr>
                <w:rFonts w:hint="eastAsia"/>
                <w:bCs/>
                <w:color w:val="000000"/>
                <w:szCs w:val="21"/>
              </w:rPr>
              <w:t>（各1套）</w:t>
            </w:r>
          </w:p>
        </w:tc>
        <w:tc>
          <w:tcPr>
            <w:tcW w:w="2868" w:type="dxa"/>
            <w:vAlign w:val="center"/>
          </w:tcPr>
          <w:p>
            <w:pPr>
              <w:adjustRightInd w:val="0"/>
              <w:snapToGrid w:val="0"/>
              <w:jc w:val="center"/>
              <w:rPr>
                <w:rFonts w:cs="宋体"/>
                <w:szCs w:val="21"/>
              </w:rPr>
            </w:pPr>
            <w:r>
              <w:rPr>
                <w:color w:val="000000"/>
                <w:szCs w:val="21"/>
              </w:rPr>
              <w:t>《新乡市生态环境局关于部署安装工业企业用电量监控系统的通知》（新环[2019]154号）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72" w:type="dxa"/>
            <w:vMerge w:val="continue"/>
            <w:vAlign w:val="center"/>
          </w:tcPr>
          <w:p>
            <w:pPr>
              <w:adjustRightInd w:val="0"/>
              <w:snapToGrid w:val="0"/>
              <w:jc w:val="center"/>
              <w:rPr>
                <w:rFonts w:cs="宋体"/>
                <w:spacing w:val="-8"/>
                <w:szCs w:val="21"/>
              </w:rPr>
            </w:pPr>
          </w:p>
        </w:tc>
        <w:tc>
          <w:tcPr>
            <w:tcW w:w="7829" w:type="dxa"/>
            <w:gridSpan w:val="5"/>
            <w:vAlign w:val="center"/>
          </w:tcPr>
          <w:p>
            <w:pPr>
              <w:adjustRightInd w:val="0"/>
              <w:snapToGrid w:val="0"/>
              <w:ind w:firstLine="420" w:firstLineChars="200"/>
              <w:rPr>
                <w:bCs/>
                <w:color w:val="000000"/>
                <w:szCs w:val="21"/>
              </w:rPr>
            </w:pPr>
            <w:r>
              <w:rPr>
                <w:rFonts w:hint="eastAsia"/>
                <w:bCs/>
                <w:color w:val="000000"/>
                <w:szCs w:val="21"/>
              </w:rPr>
              <w:t>根据</w:t>
            </w:r>
            <w:r>
              <w:rPr>
                <w:bCs/>
                <w:color w:val="000000"/>
                <w:szCs w:val="21"/>
              </w:rPr>
              <w:t xml:space="preserve">《排污单位自行监测技术指南 </w:t>
            </w:r>
            <w:r>
              <w:rPr>
                <w:rFonts w:hint="eastAsia"/>
                <w:bCs/>
                <w:color w:val="000000"/>
                <w:szCs w:val="21"/>
              </w:rPr>
              <w:t>总则</w:t>
            </w:r>
            <w:r>
              <w:rPr>
                <w:bCs/>
                <w:color w:val="000000"/>
                <w:szCs w:val="21"/>
              </w:rPr>
              <w:t>》（HJ 1084-2020）</w:t>
            </w:r>
            <w:r>
              <w:rPr>
                <w:rFonts w:hint="eastAsia"/>
                <w:bCs/>
                <w:color w:val="000000"/>
                <w:szCs w:val="21"/>
              </w:rPr>
              <w:t>，本项目在生产运行阶段的污染源监测计划见下表。</w:t>
            </w:r>
          </w:p>
          <w:p>
            <w:pPr>
              <w:tabs>
                <w:tab w:val="left" w:pos="8370"/>
                <w:tab w:val="left" w:pos="8600"/>
              </w:tabs>
              <w:adjustRightInd w:val="0"/>
              <w:snapToGrid w:val="0"/>
              <w:jc w:val="center"/>
              <w:rPr>
                <w:color w:val="000000"/>
                <w:szCs w:val="21"/>
              </w:rPr>
            </w:pPr>
            <w:r>
              <w:rPr>
                <w:rFonts w:hint="eastAsia"/>
                <w:color w:val="000000"/>
                <w:szCs w:val="21"/>
              </w:rPr>
              <w:t>污染源自行监测计划表</w:t>
            </w:r>
          </w:p>
          <w:tbl>
            <w:tblPr>
              <w:tblStyle w:val="16"/>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1"/>
              <w:gridCol w:w="567"/>
              <w:gridCol w:w="708"/>
              <w:gridCol w:w="993"/>
              <w:gridCol w:w="1275"/>
              <w:gridCol w:w="3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vAlign w:val="center"/>
                </w:tcPr>
                <w:p>
                  <w:pPr>
                    <w:autoSpaceDE w:val="0"/>
                    <w:autoSpaceDN w:val="0"/>
                    <w:adjustRightInd w:val="0"/>
                    <w:snapToGrid w:val="0"/>
                    <w:jc w:val="center"/>
                    <w:rPr>
                      <w:b/>
                      <w:bCs/>
                      <w:color w:val="000000"/>
                      <w:szCs w:val="21"/>
                    </w:rPr>
                  </w:pPr>
                  <w:r>
                    <w:rPr>
                      <w:rFonts w:hint="eastAsia"/>
                      <w:b/>
                      <w:bCs/>
                      <w:color w:val="000000"/>
                      <w:szCs w:val="21"/>
                    </w:rPr>
                    <w:t>监控类别</w:t>
                  </w:r>
                </w:p>
              </w:tc>
              <w:tc>
                <w:tcPr>
                  <w:tcW w:w="1275" w:type="dxa"/>
                  <w:gridSpan w:val="2"/>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rFonts w:hint="eastAsia"/>
                      <w:b/>
                      <w:bCs/>
                      <w:color w:val="000000"/>
                      <w:szCs w:val="21"/>
                    </w:rPr>
                    <w:t>监测指标</w:t>
                  </w:r>
                </w:p>
              </w:tc>
              <w:tc>
                <w:tcPr>
                  <w:tcW w:w="993"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rFonts w:hint="eastAsia"/>
                      <w:b/>
                      <w:bCs/>
                      <w:color w:val="000000"/>
                      <w:szCs w:val="21"/>
                    </w:rPr>
                    <w:t>监测点位</w:t>
                  </w:r>
                </w:p>
              </w:tc>
              <w:tc>
                <w:tcPr>
                  <w:tcW w:w="1275"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rFonts w:hint="eastAsia"/>
                      <w:b/>
                      <w:bCs/>
                      <w:color w:val="000000"/>
                      <w:szCs w:val="21"/>
                    </w:rPr>
                    <w:t>监测频次</w:t>
                  </w:r>
                </w:p>
              </w:tc>
              <w:tc>
                <w:tcPr>
                  <w:tcW w:w="3651"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rFonts w:hint="eastAsia"/>
                      <w:b/>
                      <w:bCs/>
                      <w:color w:val="000000"/>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color w:val="000000"/>
                      <w:szCs w:val="21"/>
                    </w:rPr>
                    <w:t>噪声</w:t>
                  </w:r>
                </w:p>
              </w:tc>
              <w:tc>
                <w:tcPr>
                  <w:tcW w:w="1275" w:type="dxa"/>
                  <w:gridSpan w:val="2"/>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color w:val="000000"/>
                      <w:szCs w:val="21"/>
                    </w:rPr>
                    <w:t>等效连续</w:t>
                  </w:r>
                  <w:r>
                    <w:rPr>
                      <w:color w:val="000000"/>
                      <w:szCs w:val="21"/>
                    </w:rPr>
                    <w:t>A</w:t>
                  </w:r>
                  <w:r>
                    <w:rPr>
                      <w:rFonts w:hint="eastAsia"/>
                      <w:color w:val="000000"/>
                      <w:szCs w:val="21"/>
                    </w:rPr>
                    <w:t>声级</w:t>
                  </w:r>
                </w:p>
              </w:tc>
              <w:tc>
                <w:tcPr>
                  <w:tcW w:w="993"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color w:val="000000"/>
                      <w:szCs w:val="21"/>
                    </w:rPr>
                    <w:t>四周厂界外</w:t>
                  </w:r>
                  <w:r>
                    <w:rPr>
                      <w:color w:val="000000"/>
                      <w:szCs w:val="21"/>
                    </w:rPr>
                    <w:t>1m</w:t>
                  </w:r>
                  <w:r>
                    <w:rPr>
                      <w:rFonts w:hint="eastAsia"/>
                      <w:color w:val="000000"/>
                      <w:szCs w:val="21"/>
                    </w:rPr>
                    <w:t>处</w:t>
                  </w:r>
                </w:p>
              </w:tc>
              <w:tc>
                <w:tcPr>
                  <w:tcW w:w="1275" w:type="dxa"/>
                  <w:tcMar>
                    <w:top w:w="0" w:type="dxa"/>
                    <w:left w:w="28" w:type="dxa"/>
                    <w:bottom w:w="0" w:type="dxa"/>
                    <w:right w:w="28" w:type="dxa"/>
                  </w:tcMar>
                  <w:vAlign w:val="center"/>
                </w:tcPr>
                <w:p>
                  <w:pPr>
                    <w:autoSpaceDE w:val="0"/>
                    <w:autoSpaceDN w:val="0"/>
                    <w:adjustRightInd w:val="0"/>
                    <w:snapToGrid w:val="0"/>
                    <w:jc w:val="center"/>
                    <w:rPr>
                      <w:b/>
                      <w:color w:val="000000"/>
                      <w:szCs w:val="21"/>
                    </w:rPr>
                  </w:pPr>
                  <w:r>
                    <w:rPr>
                      <w:color w:val="000000"/>
                      <w:szCs w:val="21"/>
                    </w:rPr>
                    <w:t>每季1次，</w:t>
                  </w:r>
                  <w:r>
                    <w:rPr>
                      <w:rFonts w:hint="eastAsia"/>
                      <w:color w:val="000000"/>
                      <w:szCs w:val="21"/>
                    </w:rPr>
                    <w:t>每次2天，</w:t>
                  </w:r>
                  <w:r>
                    <w:rPr>
                      <w:color w:val="000000"/>
                      <w:szCs w:val="21"/>
                    </w:rPr>
                    <w:t>昼间检测1次</w:t>
                  </w:r>
                </w:p>
              </w:tc>
              <w:tc>
                <w:tcPr>
                  <w:tcW w:w="3651"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《工业企业厂界环境噪声排放标准》（GB12348-2008）3类</w:t>
                  </w:r>
                  <w:r>
                    <w:rPr>
                      <w:rFonts w:hint="eastAsia"/>
                      <w:color w:val="000000"/>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vMerge w:val="restart"/>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color w:val="000000"/>
                      <w:szCs w:val="21"/>
                    </w:rPr>
                    <w:t>废气</w:t>
                  </w:r>
                </w:p>
              </w:tc>
              <w:tc>
                <w:tcPr>
                  <w:tcW w:w="7194" w:type="dxa"/>
                  <w:gridSpan w:val="5"/>
                  <w:tcMar>
                    <w:top w:w="0" w:type="dxa"/>
                    <w:left w:w="28" w:type="dxa"/>
                    <w:bottom w:w="0" w:type="dxa"/>
                    <w:right w:w="28" w:type="dxa"/>
                  </w:tcMar>
                  <w:vAlign w:val="center"/>
                </w:tcPr>
                <w:p>
                  <w:pPr>
                    <w:autoSpaceDE w:val="0"/>
                    <w:autoSpaceDN w:val="0"/>
                    <w:adjustRightInd w:val="0"/>
                    <w:snapToGrid w:val="0"/>
                    <w:jc w:val="center"/>
                    <w:rPr>
                      <w:color w:val="000000"/>
                      <w:szCs w:val="21"/>
                    </w:rPr>
                  </w:pPr>
                  <w:r>
                    <w:rPr>
                      <w:b/>
                      <w:color w:val="000000"/>
                      <w:szCs w:val="21"/>
                    </w:rPr>
                    <w:t>有组织废气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vMerge w:val="continue"/>
                  <w:tcMar>
                    <w:top w:w="0" w:type="dxa"/>
                    <w:left w:w="28" w:type="dxa"/>
                    <w:bottom w:w="0" w:type="dxa"/>
                    <w:right w:w="28" w:type="dxa"/>
                  </w:tcMar>
                  <w:vAlign w:val="center"/>
                </w:tcPr>
                <w:p>
                  <w:pPr>
                    <w:autoSpaceDE w:val="0"/>
                    <w:autoSpaceDN w:val="0"/>
                    <w:adjustRightInd w:val="0"/>
                    <w:snapToGrid w:val="0"/>
                    <w:jc w:val="center"/>
                    <w:rPr>
                      <w:color w:val="000000"/>
                      <w:szCs w:val="21"/>
                    </w:rPr>
                  </w:pPr>
                </w:p>
              </w:tc>
              <w:tc>
                <w:tcPr>
                  <w:tcW w:w="567"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szCs w:val="21"/>
                      <w:lang w:val="pt-BR"/>
                    </w:rPr>
                    <w:t>非甲烷总烃</w:t>
                  </w:r>
                </w:p>
              </w:tc>
              <w:tc>
                <w:tcPr>
                  <w:tcW w:w="708" w:type="dxa"/>
                  <w:vAlign w:val="center"/>
                </w:tcPr>
                <w:p>
                  <w:pPr>
                    <w:autoSpaceDE w:val="0"/>
                    <w:autoSpaceDN w:val="0"/>
                    <w:adjustRightInd w:val="0"/>
                    <w:snapToGrid w:val="0"/>
                    <w:jc w:val="center"/>
                    <w:rPr>
                      <w:color w:val="000000"/>
                      <w:szCs w:val="21"/>
                    </w:rPr>
                  </w:pPr>
                  <w:r>
                    <w:rPr>
                      <w:color w:val="000000"/>
                      <w:szCs w:val="21"/>
                    </w:rPr>
                    <w:t>浓度、速率、废气量</w:t>
                  </w:r>
                </w:p>
              </w:tc>
              <w:tc>
                <w:tcPr>
                  <w:tcW w:w="993"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排气筒P2</w:t>
                  </w:r>
                </w:p>
              </w:tc>
              <w:tc>
                <w:tcPr>
                  <w:tcW w:w="1275" w:type="dxa"/>
                  <w:tcMar>
                    <w:top w:w="0" w:type="dxa"/>
                    <w:left w:w="28" w:type="dxa"/>
                    <w:bottom w:w="0" w:type="dxa"/>
                    <w:right w:w="28" w:type="dxa"/>
                  </w:tcMar>
                  <w:vAlign w:val="center"/>
                </w:tcPr>
                <w:p>
                  <w:pPr>
                    <w:autoSpaceDE w:val="0"/>
                    <w:autoSpaceDN w:val="0"/>
                    <w:adjustRightInd w:val="0"/>
                    <w:snapToGrid w:val="0"/>
                    <w:jc w:val="center"/>
                    <w:rPr>
                      <w:b/>
                      <w:color w:val="000000"/>
                      <w:szCs w:val="21"/>
                    </w:rPr>
                  </w:pPr>
                  <w:r>
                    <w:rPr>
                      <w:szCs w:val="21"/>
                    </w:rPr>
                    <w:t>1次/</w:t>
                  </w:r>
                  <w:r>
                    <w:rPr>
                      <w:rFonts w:hint="eastAsia"/>
                      <w:szCs w:val="21"/>
                    </w:rPr>
                    <w:t>年</w:t>
                  </w:r>
                </w:p>
              </w:tc>
              <w:tc>
                <w:tcPr>
                  <w:tcW w:w="3651"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号）附件1医药制造工业</w:t>
                  </w:r>
                  <w:r>
                    <w:rPr>
                      <w:color w:val="000000"/>
                      <w:szCs w:val="21"/>
                    </w:rPr>
                    <w:t>中</w:t>
                  </w:r>
                  <w:r>
                    <w:rPr>
                      <w:rFonts w:hint="eastAsia"/>
                      <w:color w:val="000000"/>
                      <w:szCs w:val="21"/>
                    </w:rPr>
                    <w:t>非甲烷总烃</w:t>
                  </w:r>
                  <w:r>
                    <w:rPr>
                      <w:color w:val="000000"/>
                      <w:szCs w:val="21"/>
                    </w:rPr>
                    <w:t>有组织排放60mg/m</w:t>
                  </w:r>
                  <w:r>
                    <w:rPr>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vMerge w:val="continue"/>
                  <w:tcMar>
                    <w:top w:w="0" w:type="dxa"/>
                    <w:left w:w="28" w:type="dxa"/>
                    <w:bottom w:w="0" w:type="dxa"/>
                    <w:right w:w="28" w:type="dxa"/>
                  </w:tcMar>
                  <w:vAlign w:val="center"/>
                </w:tcPr>
                <w:p>
                  <w:pPr>
                    <w:autoSpaceDE w:val="0"/>
                    <w:autoSpaceDN w:val="0"/>
                    <w:adjustRightInd w:val="0"/>
                    <w:snapToGrid w:val="0"/>
                    <w:jc w:val="center"/>
                    <w:rPr>
                      <w:color w:val="000000"/>
                      <w:szCs w:val="21"/>
                    </w:rPr>
                  </w:pPr>
                </w:p>
              </w:tc>
              <w:tc>
                <w:tcPr>
                  <w:tcW w:w="7194" w:type="dxa"/>
                  <w:gridSpan w:val="5"/>
                  <w:tcMar>
                    <w:top w:w="0" w:type="dxa"/>
                    <w:left w:w="28" w:type="dxa"/>
                    <w:bottom w:w="0" w:type="dxa"/>
                    <w:right w:w="28" w:type="dxa"/>
                  </w:tcMar>
                  <w:vAlign w:val="center"/>
                </w:tcPr>
                <w:p>
                  <w:pPr>
                    <w:autoSpaceDE w:val="0"/>
                    <w:autoSpaceDN w:val="0"/>
                    <w:adjustRightInd w:val="0"/>
                    <w:snapToGrid w:val="0"/>
                    <w:jc w:val="center"/>
                    <w:rPr>
                      <w:color w:val="000000"/>
                      <w:szCs w:val="21"/>
                    </w:rPr>
                  </w:pPr>
                  <w:r>
                    <w:rPr>
                      <w:b/>
                      <w:color w:val="000000"/>
                      <w:szCs w:val="21"/>
                    </w:rPr>
                    <w:t>无组织废气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1" w:type="dxa"/>
                  <w:vMerge w:val="continue"/>
                  <w:tcMar>
                    <w:top w:w="0" w:type="dxa"/>
                    <w:left w:w="28" w:type="dxa"/>
                    <w:bottom w:w="0" w:type="dxa"/>
                    <w:right w:w="28" w:type="dxa"/>
                  </w:tcMar>
                  <w:vAlign w:val="center"/>
                </w:tcPr>
                <w:p>
                  <w:pPr>
                    <w:autoSpaceDE w:val="0"/>
                    <w:autoSpaceDN w:val="0"/>
                    <w:adjustRightInd w:val="0"/>
                    <w:snapToGrid w:val="0"/>
                    <w:jc w:val="center"/>
                    <w:rPr>
                      <w:color w:val="000000"/>
                      <w:szCs w:val="21"/>
                    </w:rPr>
                  </w:pPr>
                </w:p>
              </w:tc>
              <w:tc>
                <w:tcPr>
                  <w:tcW w:w="567"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szCs w:val="21"/>
                      <w:lang w:val="pt-BR"/>
                    </w:rPr>
                    <w:t>非甲烷总烃</w:t>
                  </w:r>
                </w:p>
              </w:tc>
              <w:tc>
                <w:tcPr>
                  <w:tcW w:w="708" w:type="dxa"/>
                  <w:vAlign w:val="center"/>
                </w:tcPr>
                <w:p>
                  <w:pPr>
                    <w:autoSpaceDE w:val="0"/>
                    <w:autoSpaceDN w:val="0"/>
                    <w:adjustRightInd w:val="0"/>
                    <w:snapToGrid w:val="0"/>
                    <w:jc w:val="center"/>
                    <w:rPr>
                      <w:color w:val="000000"/>
                      <w:szCs w:val="21"/>
                    </w:rPr>
                  </w:pPr>
                  <w:r>
                    <w:rPr>
                      <w:color w:val="000000"/>
                      <w:szCs w:val="21"/>
                    </w:rPr>
                    <w:t>排放浓度</w:t>
                  </w:r>
                </w:p>
              </w:tc>
              <w:tc>
                <w:tcPr>
                  <w:tcW w:w="993"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四周厂界</w:t>
                  </w:r>
                </w:p>
              </w:tc>
              <w:tc>
                <w:tcPr>
                  <w:tcW w:w="1275" w:type="dxa"/>
                  <w:tcMar>
                    <w:top w:w="0" w:type="dxa"/>
                    <w:left w:w="28" w:type="dxa"/>
                    <w:bottom w:w="0" w:type="dxa"/>
                    <w:right w:w="28" w:type="dxa"/>
                  </w:tcMar>
                  <w:vAlign w:val="center"/>
                </w:tcPr>
                <w:p>
                  <w:pPr>
                    <w:autoSpaceDE w:val="0"/>
                    <w:autoSpaceDN w:val="0"/>
                    <w:adjustRightInd w:val="0"/>
                    <w:snapToGrid w:val="0"/>
                    <w:jc w:val="center"/>
                    <w:rPr>
                      <w:b/>
                      <w:color w:val="000000"/>
                      <w:szCs w:val="21"/>
                    </w:rPr>
                  </w:pPr>
                  <w:r>
                    <w:rPr>
                      <w:szCs w:val="21"/>
                    </w:rPr>
                    <w:t>1次/</w:t>
                  </w:r>
                  <w:r>
                    <w:rPr>
                      <w:rFonts w:hint="eastAsia"/>
                      <w:szCs w:val="21"/>
                    </w:rPr>
                    <w:t>年</w:t>
                  </w:r>
                </w:p>
              </w:tc>
              <w:tc>
                <w:tcPr>
                  <w:tcW w:w="3651"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rFonts w:hint="eastAsia"/>
                      <w:bCs/>
                      <w:color w:val="000000"/>
                      <w:szCs w:val="21"/>
                    </w:rPr>
                    <w:t>《关于全省开展工业企业挥发性有机物专项治理工作中排放建议值的通知》（豫环攻坚办（2</w:t>
                  </w:r>
                  <w:r>
                    <w:rPr>
                      <w:bCs/>
                      <w:color w:val="000000"/>
                      <w:szCs w:val="21"/>
                    </w:rPr>
                    <w:t>017</w:t>
                  </w:r>
                  <w:r>
                    <w:rPr>
                      <w:rFonts w:hint="eastAsia"/>
                      <w:bCs/>
                      <w:color w:val="000000"/>
                      <w:szCs w:val="21"/>
                    </w:rPr>
                    <w:t>）1</w:t>
                  </w:r>
                  <w:r>
                    <w:rPr>
                      <w:bCs/>
                      <w:color w:val="000000"/>
                      <w:szCs w:val="21"/>
                    </w:rPr>
                    <w:t>62</w:t>
                  </w:r>
                  <w:r>
                    <w:rPr>
                      <w:rFonts w:hint="eastAsia"/>
                      <w:bCs/>
                      <w:color w:val="000000"/>
                      <w:szCs w:val="21"/>
                    </w:rPr>
                    <w:t>号）附件2：工业企业边界非甲烷总烃2</w:t>
                  </w:r>
                  <w:r>
                    <w:rPr>
                      <w:bCs/>
                      <w:color w:val="000000"/>
                      <w:szCs w:val="21"/>
                    </w:rPr>
                    <w:t>.0mg/m</w:t>
                  </w:r>
                  <w:r>
                    <w:rPr>
                      <w:bCs/>
                      <w:color w:val="000000"/>
                      <w:szCs w:val="21"/>
                      <w:vertAlign w:val="superscript"/>
                    </w:rPr>
                    <w:t>3</w:t>
                  </w:r>
                </w:p>
              </w:tc>
            </w:tr>
          </w:tbl>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ind w:firstLine="480" w:firstLineChars="200"/>
              <w:rPr>
                <w:color w:val="000000"/>
                <w:sz w:val="24"/>
              </w:rPr>
            </w:pPr>
          </w:p>
          <w:p>
            <w:pPr>
              <w:adjustRightInd w:val="0"/>
              <w:snapToGrid w:val="0"/>
              <w:jc w:val="center"/>
              <w:rPr>
                <w:rFonts w:cs="宋体"/>
                <w:szCs w:val="21"/>
              </w:rPr>
            </w:pPr>
          </w:p>
        </w:tc>
      </w:tr>
    </w:tbl>
    <w:p>
      <w:pPr>
        <w:pStyle w:val="14"/>
        <w:adjustRightInd w:val="0"/>
        <w:snapToGrid w:val="0"/>
        <w:spacing w:before="0" w:beforeAutospacing="0" w:after="0" w:afterAutospacing="0"/>
        <w:jc w:val="both"/>
        <w:rPr>
          <w:snapToGrid w:val="0"/>
          <w:sz w:val="18"/>
          <w:szCs w:val="18"/>
        </w:rPr>
        <w:sectPr>
          <w:pgSz w:w="11906" w:h="16838"/>
          <w:pgMar w:top="1701" w:right="1531" w:bottom="1701" w:left="1531" w:header="851" w:footer="851" w:gutter="0"/>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line="460" w:lineRule="exact"/>
              <w:ind w:firstLine="480" w:firstLineChars="200"/>
              <w:rPr>
                <w:color w:val="000000"/>
                <w:sz w:val="24"/>
              </w:rPr>
            </w:pPr>
            <w:r>
              <w:rPr>
                <w:rFonts w:hint="eastAsia"/>
                <w:bCs/>
                <w:color w:val="000000"/>
                <w:sz w:val="24"/>
              </w:rPr>
              <w:t>河南意诺康医疗器械有限公司年产1</w:t>
            </w:r>
            <w:r>
              <w:rPr>
                <w:bCs/>
                <w:color w:val="000000"/>
                <w:sz w:val="24"/>
              </w:rPr>
              <w:t>000</w:t>
            </w:r>
            <w:r>
              <w:rPr>
                <w:rFonts w:hint="eastAsia"/>
                <w:bCs/>
                <w:color w:val="000000"/>
                <w:sz w:val="24"/>
              </w:rPr>
              <w:t>万支口罩建设项目</w:t>
            </w:r>
            <w:r>
              <w:rPr>
                <w:bCs/>
                <w:color w:val="000000"/>
                <w:sz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r>
              <w:rPr>
                <w:color w:val="000000"/>
                <w:sz w:val="24"/>
              </w:rPr>
              <w:t>。</w:t>
            </w:r>
          </w:p>
          <w:p>
            <w:pPr>
              <w:adjustRightInd w:val="0"/>
              <w:snapToGrid w:val="0"/>
              <w:spacing w:line="460" w:lineRule="exact"/>
              <w:ind w:firstLine="420" w:firstLineChars="200"/>
              <w:rPr>
                <w:color w:val="000000"/>
              </w:rPr>
            </w:pPr>
          </w:p>
          <w:p>
            <w:pPr>
              <w:pStyle w:val="46"/>
              <w:adjustRightInd w:val="0"/>
              <w:snapToGrid w:val="0"/>
              <w:spacing w:line="460" w:lineRule="exact"/>
              <w:ind w:firstLine="5760" w:firstLineChars="2400"/>
              <w:rPr>
                <w:color w:val="000000"/>
                <w:sz w:val="24"/>
                <w:lang w:val="en-US"/>
              </w:rPr>
            </w:pPr>
            <w:r>
              <w:rPr>
                <w:rFonts w:hint="eastAsia"/>
                <w:color w:val="000000"/>
                <w:sz w:val="24"/>
                <w:lang w:val="en-US"/>
              </w:rPr>
              <w:t>河南</w:t>
            </w:r>
            <w:r>
              <w:rPr>
                <w:color w:val="000000"/>
                <w:sz w:val="24"/>
                <w:lang w:val="en-US"/>
              </w:rPr>
              <w:t>蓝天环境</w:t>
            </w:r>
            <w:r>
              <w:rPr>
                <w:rFonts w:hint="eastAsia"/>
                <w:color w:val="000000"/>
                <w:sz w:val="24"/>
                <w:lang w:val="en-US"/>
              </w:rPr>
              <w:t>工程</w:t>
            </w:r>
            <w:r>
              <w:rPr>
                <w:color w:val="000000"/>
                <w:sz w:val="24"/>
                <w:lang w:val="en-US"/>
              </w:rPr>
              <w:t>有限公司</w:t>
            </w:r>
          </w:p>
          <w:p>
            <w:pPr>
              <w:wordWrap w:val="0"/>
              <w:adjustRightInd w:val="0"/>
              <w:snapToGrid w:val="0"/>
              <w:spacing w:line="460" w:lineRule="exact"/>
              <w:jc w:val="right"/>
              <w:rPr>
                <w:color w:val="000000"/>
                <w:sz w:val="24"/>
              </w:rPr>
            </w:pPr>
            <w:r>
              <w:rPr>
                <w:color w:val="000000"/>
                <w:sz w:val="24"/>
              </w:rPr>
              <w:t xml:space="preserve">2022.10        </w:t>
            </w:r>
          </w:p>
          <w:p>
            <w:pPr>
              <w:spacing w:line="360" w:lineRule="auto"/>
              <w:rPr>
                <w:rFonts w:ascii="宋体" w:cs="宋体"/>
                <w:sz w:val="24"/>
              </w:rPr>
            </w:pPr>
          </w:p>
        </w:tc>
      </w:tr>
    </w:tbl>
    <w:p>
      <w:pPr>
        <w:rPr>
          <w:rFonts w:ascii="宋体"/>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60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4"/>
        <w:adjustRightInd w:val="0"/>
        <w:snapToGrid w:val="0"/>
        <w:spacing w:before="0" w:beforeAutospacing="0" w:after="0" w:afterAutospacing="0" w:line="480"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p>
      <w:pPr>
        <w:pStyle w:val="14"/>
        <w:wordWrap w:val="0"/>
        <w:adjustRightInd w:val="0"/>
        <w:snapToGrid w:val="0"/>
        <w:spacing w:before="0" w:beforeAutospacing="0" w:after="0" w:afterAutospacing="0"/>
        <w:jc w:val="right"/>
        <w:outlineLvl w:val="0"/>
        <w:rPr>
          <w:rFonts w:ascii="Times New Roman" w:hAnsi="Times New Roman" w:eastAsia="方正小标宋_GBK"/>
          <w:snapToGrid w:val="0"/>
          <w:sz w:val="21"/>
          <w:szCs w:val="21"/>
        </w:rPr>
      </w:pPr>
      <w:r>
        <w:rPr>
          <w:rFonts w:hint="eastAsia" w:ascii="Times New Roman" w:hAnsi="Times New Roman" w:eastAsia="方正小标宋_GBK"/>
          <w:snapToGrid w:val="0"/>
          <w:sz w:val="21"/>
          <w:szCs w:val="21"/>
        </w:rPr>
        <w:t>单位：t</w:t>
      </w:r>
      <w:r>
        <w:rPr>
          <w:rFonts w:ascii="Times New Roman" w:hAnsi="Times New Roman" w:eastAsia="方正小标宋_GBK"/>
          <w:snapToGrid w:val="0"/>
          <w:sz w:val="21"/>
          <w:szCs w:val="21"/>
        </w:rPr>
        <w:t xml:space="preserve">/a </w:t>
      </w:r>
    </w:p>
    <w:tbl>
      <w:tblPr>
        <w:tblStyle w:val="1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843"/>
        <w:gridCol w:w="1559"/>
        <w:gridCol w:w="1418"/>
        <w:gridCol w:w="1559"/>
        <w:gridCol w:w="1559"/>
        <w:gridCol w:w="1418"/>
        <w:gridCol w:w="1701"/>
        <w:gridCol w:w="1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tcBorders>
              <w:tl2br w:val="single" w:color="auto" w:sz="4" w:space="0"/>
            </w:tcBorders>
            <w:tcMar>
              <w:left w:w="28" w:type="dxa"/>
              <w:right w:w="28" w:type="dxa"/>
            </w:tcMar>
            <w:vAlign w:val="center"/>
          </w:tcPr>
          <w:p>
            <w:pPr>
              <w:pStyle w:val="30"/>
              <w:spacing w:beforeLines="0" w:afterLines="0" w:line="240" w:lineRule="auto"/>
              <w:jc w:val="right"/>
              <w:rPr>
                <w:rFonts w:ascii="Times New Roman" w:eastAsia="黑体" w:cs="宋体"/>
                <w:snapToGrid w:val="0"/>
                <w:color w:val="000000"/>
                <w:spacing w:val="-6"/>
                <w:kern w:val="21"/>
                <w:szCs w:val="21"/>
                <w:lang w:val="en-US"/>
              </w:rPr>
            </w:pPr>
            <w:r>
              <w:rPr>
                <w:rFonts w:hint="eastAsia" w:ascii="Times New Roman" w:eastAsia="黑体" w:cs="宋体"/>
                <w:snapToGrid w:val="0"/>
                <w:color w:val="000000"/>
                <w:spacing w:val="-6"/>
                <w:kern w:val="21"/>
                <w:szCs w:val="21"/>
                <w:lang w:val="en-US"/>
              </w:rPr>
              <w:t>项目</w:t>
            </w:r>
          </w:p>
          <w:p>
            <w:pPr>
              <w:pStyle w:val="30"/>
              <w:spacing w:beforeLines="0" w:afterLines="0" w:line="240" w:lineRule="auto"/>
              <w:jc w:val="left"/>
              <w:rPr>
                <w:rFonts w:ascii="Times New Roman" w:eastAsia="黑体" w:cs="宋体"/>
                <w:snapToGrid w:val="0"/>
                <w:color w:val="000000"/>
                <w:spacing w:val="-6"/>
                <w:kern w:val="21"/>
                <w:szCs w:val="21"/>
                <w:lang w:val="en-US"/>
              </w:rPr>
            </w:pPr>
            <w:r>
              <w:rPr>
                <w:rFonts w:hint="eastAsia" w:ascii="Times New Roman" w:eastAsia="黑体" w:cs="宋体"/>
                <w:snapToGrid w:val="0"/>
                <w:color w:val="000000"/>
                <w:spacing w:val="-6"/>
                <w:kern w:val="21"/>
                <w:szCs w:val="21"/>
                <w:lang w:val="en-US"/>
              </w:rPr>
              <w:t>分类</w:t>
            </w:r>
          </w:p>
        </w:tc>
        <w:tc>
          <w:tcPr>
            <w:tcW w:w="1843" w:type="dxa"/>
            <w:tcMar>
              <w:left w:w="28" w:type="dxa"/>
              <w:right w:w="28" w:type="dxa"/>
            </w:tcMar>
            <w:vAlign w:val="center"/>
          </w:tcPr>
          <w:p>
            <w:pPr>
              <w:pStyle w:val="30"/>
              <w:spacing w:beforeLines="0" w:afterLines="0" w:line="240" w:lineRule="auto"/>
              <w:rPr>
                <w:rFonts w:ascii="Times New Roman" w:eastAsia="黑体" w:cs="宋体"/>
                <w:snapToGrid w:val="0"/>
                <w:color w:val="000000"/>
                <w:spacing w:val="-6"/>
                <w:kern w:val="21"/>
                <w:szCs w:val="21"/>
                <w:lang w:val="en-US"/>
              </w:rPr>
            </w:pPr>
            <w:r>
              <w:rPr>
                <w:rFonts w:hint="eastAsia" w:ascii="Times New Roman" w:eastAsia="黑体" w:cs="宋体"/>
                <w:snapToGrid w:val="0"/>
                <w:color w:val="000000"/>
                <w:spacing w:val="-6"/>
                <w:kern w:val="21"/>
                <w:szCs w:val="21"/>
                <w:lang w:val="en-US"/>
              </w:rPr>
              <w:t>污染物名称</w:t>
            </w:r>
          </w:p>
        </w:tc>
        <w:tc>
          <w:tcPr>
            <w:tcW w:w="1559" w:type="dxa"/>
            <w:tcMar>
              <w:left w:w="28" w:type="dxa"/>
              <w:right w:w="28" w:type="dxa"/>
            </w:tcMar>
            <w:vAlign w:val="center"/>
          </w:tcPr>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现有工程</w:t>
            </w:r>
          </w:p>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hint="eastAsia" w:ascii="Times New Roman" w:eastAsia="黑体"/>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hint="eastAsia" w:ascii="Times New Roman" w:eastAsia="黑体"/>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1 \* GB3 \* MERGEFORMAT </w:instrText>
            </w:r>
            <w:r>
              <w:rPr>
                <w:rFonts w:ascii="Times New Roman" w:eastAsia="黑体"/>
                <w:snapToGrid w:val="0"/>
                <w:color w:val="000000"/>
                <w:spacing w:val="-6"/>
                <w:kern w:val="21"/>
                <w:szCs w:val="21"/>
                <w:lang w:val="en-US"/>
              </w:rPr>
              <w:fldChar w:fldCharType="separate"/>
            </w:r>
            <w:r>
              <w:rPr>
                <w:rFonts w:hint="eastAsia" w:ascii="Times New Roman" w:eastAsia="黑体" w:cs="宋体"/>
                <w:kern w:val="2"/>
                <w:szCs w:val="21"/>
                <w:lang w:val="en-US"/>
              </w:rPr>
              <w:t>①</w:t>
            </w:r>
            <w:r>
              <w:rPr>
                <w:rFonts w:ascii="Times New Roman" w:eastAsia="黑体"/>
                <w:snapToGrid w:val="0"/>
                <w:color w:val="000000"/>
                <w:spacing w:val="-6"/>
                <w:kern w:val="21"/>
                <w:szCs w:val="21"/>
                <w:lang w:val="en-US"/>
              </w:rPr>
              <w:fldChar w:fldCharType="end"/>
            </w:r>
          </w:p>
        </w:tc>
        <w:tc>
          <w:tcPr>
            <w:tcW w:w="1418" w:type="dxa"/>
            <w:tcMar>
              <w:left w:w="28" w:type="dxa"/>
              <w:right w:w="28" w:type="dxa"/>
            </w:tcMar>
            <w:vAlign w:val="center"/>
          </w:tcPr>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现有工程</w:t>
            </w:r>
          </w:p>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许可排放量</w:t>
            </w:r>
          </w:p>
          <w:p>
            <w:pPr>
              <w:pStyle w:val="30"/>
              <w:spacing w:beforeLines="0" w:afterLines="0"/>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2 \* GB3 \* MERGEFORMAT </w:instrText>
            </w:r>
            <w:r>
              <w:rPr>
                <w:rFonts w:ascii="Times New Roman" w:eastAsia="黑体"/>
                <w:snapToGrid w:val="0"/>
                <w:color w:val="000000"/>
                <w:spacing w:val="-6"/>
                <w:kern w:val="21"/>
                <w:szCs w:val="21"/>
                <w:lang w:val="en-US"/>
              </w:rPr>
              <w:fldChar w:fldCharType="separate"/>
            </w:r>
            <w:r>
              <w:rPr>
                <w:rFonts w:hint="eastAsia" w:ascii="Times New Roman" w:eastAsia="黑体" w:cs="宋体"/>
                <w:snapToGrid w:val="0"/>
                <w:color w:val="000000"/>
                <w:spacing w:val="-6"/>
                <w:kern w:val="21"/>
                <w:szCs w:val="21"/>
                <w:lang w:val="en-US"/>
              </w:rPr>
              <w:t>②</w:t>
            </w:r>
            <w:r>
              <w:rPr>
                <w:rFonts w:ascii="Times New Roman" w:eastAsia="黑体"/>
                <w:snapToGrid w:val="0"/>
                <w:color w:val="000000"/>
                <w:spacing w:val="-6"/>
                <w:kern w:val="21"/>
                <w:szCs w:val="21"/>
                <w:lang w:val="en-US"/>
              </w:rPr>
              <w:fldChar w:fldCharType="end"/>
            </w:r>
          </w:p>
        </w:tc>
        <w:tc>
          <w:tcPr>
            <w:tcW w:w="1559" w:type="dxa"/>
            <w:tcMar>
              <w:left w:w="28" w:type="dxa"/>
              <w:right w:w="28" w:type="dxa"/>
            </w:tcMar>
            <w:vAlign w:val="center"/>
          </w:tcPr>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在建工程</w:t>
            </w:r>
          </w:p>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hint="eastAsia" w:ascii="Times New Roman" w:eastAsia="黑体"/>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hint="eastAsia" w:ascii="Times New Roman" w:eastAsia="黑体"/>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3 \* GB3 \* MERGEFORMAT </w:instrText>
            </w:r>
            <w:r>
              <w:rPr>
                <w:rFonts w:ascii="Times New Roman" w:eastAsia="黑体"/>
                <w:snapToGrid w:val="0"/>
                <w:color w:val="000000"/>
                <w:spacing w:val="-6"/>
                <w:kern w:val="21"/>
                <w:szCs w:val="21"/>
                <w:lang w:val="en-US"/>
              </w:rPr>
              <w:fldChar w:fldCharType="separate"/>
            </w:r>
            <w:r>
              <w:rPr>
                <w:rFonts w:hint="eastAsia" w:ascii="Times New Roman" w:eastAsia="黑体" w:cs="宋体"/>
                <w:kern w:val="2"/>
                <w:szCs w:val="21"/>
                <w:lang w:val="en-US"/>
              </w:rPr>
              <w:t>③</w:t>
            </w:r>
            <w:r>
              <w:rPr>
                <w:rFonts w:ascii="Times New Roman" w:eastAsia="黑体"/>
                <w:snapToGrid w:val="0"/>
                <w:color w:val="000000"/>
                <w:spacing w:val="-6"/>
                <w:kern w:val="21"/>
                <w:szCs w:val="21"/>
                <w:lang w:val="en-US"/>
              </w:rPr>
              <w:fldChar w:fldCharType="end"/>
            </w:r>
          </w:p>
        </w:tc>
        <w:tc>
          <w:tcPr>
            <w:tcW w:w="1559" w:type="dxa"/>
            <w:tcMar>
              <w:left w:w="28" w:type="dxa"/>
              <w:right w:w="28" w:type="dxa"/>
            </w:tcMar>
            <w:vAlign w:val="center"/>
          </w:tcPr>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本项目</w:t>
            </w:r>
          </w:p>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hint="eastAsia" w:ascii="Times New Roman" w:eastAsia="黑体"/>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hint="eastAsia" w:ascii="Times New Roman" w:eastAsia="黑体"/>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4 \* GB3 \* MERGEFORMAT </w:instrText>
            </w:r>
            <w:r>
              <w:rPr>
                <w:rFonts w:ascii="Times New Roman" w:eastAsia="黑体"/>
                <w:snapToGrid w:val="0"/>
                <w:color w:val="000000"/>
                <w:spacing w:val="-6"/>
                <w:kern w:val="21"/>
                <w:szCs w:val="21"/>
                <w:lang w:val="en-US"/>
              </w:rPr>
              <w:fldChar w:fldCharType="separate"/>
            </w:r>
            <w:r>
              <w:rPr>
                <w:rFonts w:hint="eastAsia" w:ascii="Times New Roman" w:eastAsia="黑体" w:cs="宋体"/>
                <w:kern w:val="2"/>
                <w:szCs w:val="21"/>
                <w:lang w:val="en-US"/>
              </w:rPr>
              <w:t>④</w:t>
            </w:r>
            <w:r>
              <w:rPr>
                <w:rFonts w:ascii="Times New Roman" w:eastAsia="黑体"/>
                <w:snapToGrid w:val="0"/>
                <w:color w:val="000000"/>
                <w:spacing w:val="-6"/>
                <w:kern w:val="21"/>
                <w:szCs w:val="21"/>
                <w:lang w:val="en-US"/>
              </w:rPr>
              <w:fldChar w:fldCharType="end"/>
            </w:r>
          </w:p>
        </w:tc>
        <w:tc>
          <w:tcPr>
            <w:tcW w:w="1418" w:type="dxa"/>
            <w:tcMar>
              <w:left w:w="28" w:type="dxa"/>
              <w:right w:w="28" w:type="dxa"/>
            </w:tcMar>
            <w:vAlign w:val="center"/>
          </w:tcPr>
          <w:p>
            <w:pPr>
              <w:pStyle w:val="30"/>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以新带老削减量</w:t>
            </w:r>
          </w:p>
          <w:p>
            <w:pPr>
              <w:pStyle w:val="30"/>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（新建项目不填）</w:t>
            </w:r>
            <w:r>
              <w:rPr>
                <w:rFonts w:ascii="Times New Roman" w:eastAsia="黑体"/>
                <w:snapToGrid w:val="0"/>
                <w:color w:val="000000"/>
                <w:spacing w:val="-16"/>
                <w:kern w:val="21"/>
                <w:szCs w:val="21"/>
                <w:lang w:val="en-US"/>
              </w:rPr>
              <w:fldChar w:fldCharType="begin"/>
            </w:r>
            <w:r>
              <w:rPr>
                <w:rFonts w:ascii="Times New Roman" w:eastAsia="黑体"/>
                <w:snapToGrid w:val="0"/>
                <w:color w:val="000000"/>
                <w:spacing w:val="-16"/>
                <w:kern w:val="21"/>
                <w:szCs w:val="21"/>
                <w:lang w:val="en-US"/>
              </w:rPr>
              <w:instrText xml:space="preserve"> = 5 \* GB3 \* MERGEFORMAT </w:instrText>
            </w:r>
            <w:r>
              <w:rPr>
                <w:rFonts w:ascii="Times New Roman" w:eastAsia="黑体"/>
                <w:snapToGrid w:val="0"/>
                <w:color w:val="000000"/>
                <w:spacing w:val="-16"/>
                <w:kern w:val="21"/>
                <w:szCs w:val="21"/>
                <w:lang w:val="en-US"/>
              </w:rPr>
              <w:fldChar w:fldCharType="separate"/>
            </w:r>
            <w:r>
              <w:rPr>
                <w:rFonts w:hint="eastAsia" w:ascii="Times New Roman" w:eastAsia="黑体" w:cs="宋体"/>
                <w:kern w:val="2"/>
                <w:szCs w:val="21"/>
                <w:lang w:val="en-US"/>
              </w:rPr>
              <w:t>⑤</w:t>
            </w:r>
            <w:r>
              <w:rPr>
                <w:rFonts w:ascii="Times New Roman" w:eastAsia="黑体"/>
                <w:snapToGrid w:val="0"/>
                <w:color w:val="000000"/>
                <w:spacing w:val="-16"/>
                <w:kern w:val="21"/>
                <w:szCs w:val="21"/>
                <w:lang w:val="en-US"/>
              </w:rPr>
              <w:fldChar w:fldCharType="end"/>
            </w:r>
          </w:p>
        </w:tc>
        <w:tc>
          <w:tcPr>
            <w:tcW w:w="1701" w:type="dxa"/>
            <w:tcMar>
              <w:left w:w="28" w:type="dxa"/>
              <w:right w:w="28" w:type="dxa"/>
            </w:tcMar>
            <w:vAlign w:val="center"/>
          </w:tcPr>
          <w:p>
            <w:pPr>
              <w:pStyle w:val="30"/>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本项目建成后</w:t>
            </w:r>
          </w:p>
          <w:p>
            <w:pPr>
              <w:pStyle w:val="30"/>
              <w:spacing w:beforeLines="0" w:afterLines="0" w:line="240" w:lineRule="auto"/>
              <w:rPr>
                <w:rFonts w:ascii="Times New Roman" w:eastAsia="黑体"/>
                <w:snapToGrid w:val="0"/>
                <w:color w:val="000000"/>
                <w:spacing w:val="-16"/>
                <w:kern w:val="21"/>
                <w:szCs w:val="21"/>
                <w:lang w:val="en-US"/>
              </w:rPr>
            </w:pPr>
            <w:r>
              <w:rPr>
                <w:rFonts w:hint="eastAsia" w:ascii="Times New Roman" w:eastAsia="黑体"/>
                <w:snapToGrid w:val="0"/>
                <w:color w:val="000000"/>
                <w:spacing w:val="-16"/>
                <w:kern w:val="21"/>
                <w:szCs w:val="21"/>
                <w:lang w:val="en-US"/>
              </w:rPr>
              <w:t>全厂</w:t>
            </w:r>
            <w:r>
              <w:rPr>
                <w:rFonts w:ascii="Times New Roman" w:eastAsia="黑体"/>
                <w:snapToGrid w:val="0"/>
                <w:color w:val="000000"/>
                <w:spacing w:val="-16"/>
                <w:kern w:val="21"/>
                <w:szCs w:val="21"/>
                <w:lang w:val="en-US"/>
              </w:rPr>
              <w:t>排放量（固</w:t>
            </w:r>
            <w:r>
              <w:rPr>
                <w:rFonts w:hint="eastAsia" w:ascii="Times New Roman" w:eastAsia="黑体"/>
                <w:snapToGrid w:val="0"/>
                <w:color w:val="000000"/>
                <w:spacing w:val="-16"/>
                <w:kern w:val="21"/>
                <w:szCs w:val="21"/>
                <w:lang w:val="en-US"/>
              </w:rPr>
              <w:t>体</w:t>
            </w:r>
            <w:r>
              <w:rPr>
                <w:rFonts w:ascii="Times New Roman" w:eastAsia="黑体"/>
                <w:snapToGrid w:val="0"/>
                <w:color w:val="000000"/>
                <w:spacing w:val="-16"/>
                <w:kern w:val="21"/>
                <w:szCs w:val="21"/>
                <w:lang w:val="en-US"/>
              </w:rPr>
              <w:t>废</w:t>
            </w:r>
            <w:r>
              <w:rPr>
                <w:rFonts w:hint="eastAsia" w:ascii="Times New Roman" w:eastAsia="黑体"/>
                <w:snapToGrid w:val="0"/>
                <w:color w:val="000000"/>
                <w:spacing w:val="-16"/>
                <w:kern w:val="21"/>
                <w:szCs w:val="21"/>
                <w:lang w:val="en-US"/>
              </w:rPr>
              <w:t>物</w:t>
            </w:r>
            <w:r>
              <w:rPr>
                <w:rFonts w:ascii="Times New Roman" w:eastAsia="黑体"/>
                <w:snapToGrid w:val="0"/>
                <w:color w:val="000000"/>
                <w:spacing w:val="-16"/>
                <w:kern w:val="21"/>
                <w:szCs w:val="21"/>
                <w:lang w:val="en-US"/>
              </w:rPr>
              <w:t>产生量）</w:t>
            </w:r>
            <w:r>
              <w:rPr>
                <w:rFonts w:ascii="Times New Roman" w:eastAsia="黑体"/>
                <w:snapToGrid w:val="0"/>
                <w:color w:val="000000"/>
                <w:spacing w:val="-16"/>
                <w:kern w:val="21"/>
                <w:szCs w:val="21"/>
                <w:lang w:val="en-US"/>
              </w:rPr>
              <w:fldChar w:fldCharType="begin"/>
            </w:r>
            <w:r>
              <w:rPr>
                <w:rFonts w:ascii="Times New Roman" w:eastAsia="黑体"/>
                <w:snapToGrid w:val="0"/>
                <w:color w:val="000000"/>
                <w:spacing w:val="-16"/>
                <w:kern w:val="21"/>
                <w:szCs w:val="21"/>
                <w:lang w:val="en-US"/>
              </w:rPr>
              <w:instrText xml:space="preserve"> = 6 \* GB3 \* MERGEFORMAT </w:instrText>
            </w:r>
            <w:r>
              <w:rPr>
                <w:rFonts w:ascii="Times New Roman" w:eastAsia="黑体"/>
                <w:snapToGrid w:val="0"/>
                <w:color w:val="000000"/>
                <w:spacing w:val="-16"/>
                <w:kern w:val="21"/>
                <w:szCs w:val="21"/>
                <w:lang w:val="en-US"/>
              </w:rPr>
              <w:fldChar w:fldCharType="separate"/>
            </w:r>
            <w:r>
              <w:rPr>
                <w:rFonts w:hint="eastAsia" w:ascii="Times New Roman" w:eastAsia="黑体" w:cs="宋体"/>
                <w:kern w:val="2"/>
                <w:szCs w:val="21"/>
                <w:lang w:val="en-US"/>
              </w:rPr>
              <w:t>⑥</w:t>
            </w:r>
            <w:r>
              <w:rPr>
                <w:rFonts w:ascii="Times New Roman" w:eastAsia="黑体"/>
                <w:snapToGrid w:val="0"/>
                <w:color w:val="000000"/>
                <w:spacing w:val="-16"/>
                <w:kern w:val="21"/>
                <w:szCs w:val="21"/>
                <w:lang w:val="en-US"/>
              </w:rPr>
              <w:fldChar w:fldCharType="end"/>
            </w:r>
          </w:p>
        </w:tc>
        <w:tc>
          <w:tcPr>
            <w:tcW w:w="1427" w:type="dxa"/>
            <w:tcMar>
              <w:left w:w="28" w:type="dxa"/>
              <w:right w:w="28" w:type="dxa"/>
            </w:tcMar>
            <w:vAlign w:val="center"/>
          </w:tcPr>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变化量</w:t>
            </w:r>
          </w:p>
          <w:p>
            <w:pPr>
              <w:pStyle w:val="30"/>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7 \* GB3 \* MERGEFORMAT </w:instrText>
            </w:r>
            <w:r>
              <w:rPr>
                <w:rFonts w:ascii="Times New Roman" w:eastAsia="黑体"/>
                <w:snapToGrid w:val="0"/>
                <w:color w:val="000000"/>
                <w:spacing w:val="-6"/>
                <w:kern w:val="21"/>
                <w:szCs w:val="21"/>
                <w:lang w:val="en-US"/>
              </w:rPr>
              <w:fldChar w:fldCharType="separate"/>
            </w:r>
            <w:r>
              <w:rPr>
                <w:rFonts w:hint="eastAsia" w:ascii="Times New Roman" w:eastAsia="黑体" w:cs="宋体"/>
                <w:kern w:val="2"/>
                <w:szCs w:val="21"/>
                <w:lang w:val="en-US"/>
              </w:rPr>
              <w:t>⑦</w:t>
            </w:r>
            <w:r>
              <w:rPr>
                <w:rFonts w:ascii="Times New Roman" w:eastAsia="黑体"/>
                <w:snapToGrid w:val="0"/>
                <w:color w:val="000000"/>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restart"/>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废气</w:t>
            </w: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lang w:val="pt-BR"/>
              </w:rPr>
              <w:t>颗粒物</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olor w:val="000000"/>
                <w:szCs w:val="21"/>
              </w:rPr>
            </w:pPr>
            <w:r>
              <w:rPr>
                <w:rFonts w:hint="eastAsia" w:ascii="Times New Roman"/>
                <w:color w:val="000000"/>
                <w:szCs w:val="21"/>
              </w:rPr>
              <w:t>0</w:t>
            </w:r>
            <w:r>
              <w:rPr>
                <w:rFonts w:ascii="Times New Roman"/>
                <w:color w:val="000000"/>
                <w:szCs w:val="21"/>
              </w:rPr>
              <w:t>.1214</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shd w:val="clear" w:color="auto" w:fill="auto"/>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lang w:val="pt-BR"/>
              </w:rPr>
              <w:t>非甲烷总烃</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olor w:val="000000"/>
                <w:szCs w:val="21"/>
              </w:rPr>
            </w:pPr>
            <w:r>
              <w:rPr>
                <w:rFonts w:hint="eastAsia" w:ascii="Times New Roman"/>
                <w:color w:val="000000"/>
                <w:szCs w:val="21"/>
              </w:rPr>
              <w:t>0</w:t>
            </w:r>
            <w:r>
              <w:rPr>
                <w:rFonts w:ascii="Times New Roman"/>
                <w:color w:val="000000"/>
                <w:szCs w:val="21"/>
              </w:rPr>
              <w:t>.1961</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lang w:val="fr-FR"/>
              </w:rPr>
              <w:t>0</w:t>
            </w:r>
            <w:r>
              <w:rPr>
                <w:rFonts w:ascii="Times New Roman"/>
                <w:color w:val="000000"/>
                <w:szCs w:val="21"/>
                <w:lang w:val="fr-FR"/>
              </w:rPr>
              <w:t>.1309</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lang w:val="fr-FR"/>
              </w:rPr>
              <w:t>0</w:t>
            </w:r>
            <w:r>
              <w:rPr>
                <w:rFonts w:ascii="Times New Roman"/>
                <w:color w:val="000000"/>
                <w:szCs w:val="21"/>
                <w:lang w:val="fr-FR"/>
              </w:rPr>
              <w:t>.1309</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lang w:val="fr-FR"/>
              </w:rPr>
              <w:t>+</w:t>
            </w:r>
            <w:r>
              <w:rPr>
                <w:rFonts w:hint="eastAsia" w:ascii="Times New Roman"/>
                <w:color w:val="000000"/>
                <w:szCs w:val="21"/>
                <w:lang w:val="fr-FR"/>
              </w:rPr>
              <w:t>0</w:t>
            </w:r>
            <w:r>
              <w:rPr>
                <w:rFonts w:ascii="Times New Roman"/>
                <w:color w:val="000000"/>
                <w:szCs w:val="21"/>
                <w:lang w:val="fr-FR"/>
              </w:rPr>
              <w:t>.1309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restart"/>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废水</w:t>
            </w: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COD</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.0242</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.0064</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.0064</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w:t>
            </w:r>
            <w:r>
              <w:rPr>
                <w:rFonts w:hint="eastAsia" w:ascii="Times New Roman"/>
                <w:szCs w:val="21"/>
              </w:rPr>
              <w:t>0</w:t>
            </w:r>
            <w:r>
              <w:rPr>
                <w:rFonts w:ascii="Times New Roman"/>
                <w:szCs w:val="21"/>
              </w:rPr>
              <w:t>.0064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NH</w:t>
            </w:r>
            <w:r>
              <w:rPr>
                <w:rFonts w:ascii="Times New Roman"/>
                <w:szCs w:val="21"/>
                <w:vertAlign w:val="subscript"/>
              </w:rPr>
              <w:t>3</w:t>
            </w:r>
            <w:r>
              <w:rPr>
                <w:rFonts w:ascii="Times New Roman"/>
                <w:szCs w:val="21"/>
              </w:rPr>
              <w:t>-N</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.0012</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.0003</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.0003</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w:t>
            </w:r>
            <w:r>
              <w:rPr>
                <w:rFonts w:hint="eastAsia" w:ascii="Times New Roman"/>
                <w:szCs w:val="21"/>
              </w:rPr>
              <w:t>0</w:t>
            </w:r>
            <w:r>
              <w:rPr>
                <w:rFonts w:ascii="Times New Roman"/>
                <w:szCs w:val="21"/>
              </w:rPr>
              <w:t>.0003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TP</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.0002</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.0001</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.0001</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w:t>
            </w:r>
            <w:r>
              <w:rPr>
                <w:rFonts w:hint="eastAsia" w:ascii="Times New Roman"/>
                <w:szCs w:val="21"/>
              </w:rPr>
              <w:t>0</w:t>
            </w:r>
            <w:r>
              <w:rPr>
                <w:rFonts w:ascii="Times New Roman"/>
                <w:szCs w:val="21"/>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TN</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.0091</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.0024</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0</w:t>
            </w:r>
            <w:r>
              <w:rPr>
                <w:rFonts w:ascii="Times New Roman"/>
                <w:szCs w:val="21"/>
              </w:rPr>
              <w:t>.0024</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szCs w:val="21"/>
              </w:rPr>
              <w:t>+</w:t>
            </w:r>
            <w:r>
              <w:rPr>
                <w:rFonts w:hint="eastAsia" w:ascii="Times New Roman"/>
                <w:szCs w:val="21"/>
              </w:rPr>
              <w:t>0</w:t>
            </w:r>
            <w:r>
              <w:rPr>
                <w:rFonts w:ascii="Times New Roman"/>
                <w:szCs w:val="21"/>
              </w:rPr>
              <w:t>.0024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restart"/>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一般工业</w:t>
            </w:r>
          </w:p>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固体废物</w:t>
            </w: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废包装材料</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.8</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rPr>
              <w:t>0.0218</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rPr>
              <w:t>0.0218</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rPr>
              <w:t>+0.0218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szCs w:val="21"/>
              </w:rPr>
              <w:t>废边角料</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.5</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szCs w:val="21"/>
              </w:rPr>
            </w:pPr>
            <w:r>
              <w:rPr>
                <w:rFonts w:hint="eastAsia" w:ascii="Times New Roman"/>
                <w:szCs w:val="21"/>
              </w:rPr>
              <w:t>不合格品</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.4</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szCs w:val="21"/>
              </w:rPr>
            </w:pPr>
            <w:r>
              <w:rPr>
                <w:rFonts w:hint="eastAsia" w:ascii="Times New Roman"/>
                <w:szCs w:val="21"/>
              </w:rPr>
              <w:t>废过滤网</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1</w:t>
            </w:r>
            <w:r>
              <w:rPr>
                <w:rFonts w:ascii="Times New Roman" w:cs="宋体"/>
                <w:snapToGrid w:val="0"/>
                <w:color w:val="000000"/>
                <w:kern w:val="21"/>
                <w:szCs w:val="21"/>
                <w:lang w:val="en-US"/>
              </w:rPr>
              <w:t>90</w:t>
            </w:r>
            <w:r>
              <w:rPr>
                <w:rFonts w:hint="eastAsia" w:ascii="Times New Roman" w:cs="宋体"/>
                <w:snapToGrid w:val="0"/>
                <w:color w:val="000000"/>
                <w:kern w:val="21"/>
                <w:szCs w:val="21"/>
                <w:lang w:val="en-US"/>
              </w:rPr>
              <w:t>个/</w:t>
            </w:r>
            <w:r>
              <w:rPr>
                <w:rFonts w:ascii="Times New Roman" w:cs="宋体"/>
                <w:snapToGrid w:val="0"/>
                <w:color w:val="000000"/>
                <w:kern w:val="21"/>
                <w:szCs w:val="21"/>
                <w:lang w:val="en-US"/>
              </w:rPr>
              <w:t>a</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szCs w:val="21"/>
              </w:rPr>
            </w:pPr>
            <w:r>
              <w:rPr>
                <w:rFonts w:hint="eastAsia" w:ascii="Times New Roman"/>
                <w:bCs/>
                <w:szCs w:val="21"/>
              </w:rPr>
              <w:t>袋式除尘器集尘</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.517</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szCs w:val="21"/>
              </w:rPr>
            </w:pPr>
            <w:r>
              <w:rPr>
                <w:rFonts w:hint="eastAsia" w:ascii="Times New Roman"/>
                <w:szCs w:val="21"/>
              </w:rPr>
              <w:t>废抹布</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.3</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szCs w:val="21"/>
              </w:rPr>
            </w:pPr>
            <w:r>
              <w:rPr>
                <w:rFonts w:hint="eastAsia" w:ascii="Times New Roman"/>
                <w:szCs w:val="21"/>
              </w:rPr>
              <w:t>不合格面罩</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.21</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.21</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rPr>
              <w:t>+</w:t>
            </w:r>
            <w:r>
              <w:rPr>
                <w:rFonts w:hint="eastAsia" w:ascii="Times New Roman"/>
                <w:color w:val="000000"/>
                <w:szCs w:val="21"/>
              </w:rPr>
              <w:t>0</w:t>
            </w:r>
            <w:r>
              <w:rPr>
                <w:rFonts w:ascii="Times New Roman"/>
                <w:color w:val="000000"/>
                <w:szCs w:val="21"/>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废面料</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.218</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olor w:val="000000"/>
                <w:szCs w:val="21"/>
              </w:rPr>
              <w:t>0</w:t>
            </w:r>
            <w:r>
              <w:rPr>
                <w:rFonts w:ascii="Times New Roman"/>
                <w:color w:val="000000"/>
                <w:szCs w:val="21"/>
              </w:rPr>
              <w:t>.218</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olor w:val="000000"/>
                <w:szCs w:val="21"/>
              </w:rPr>
              <w:t>+</w:t>
            </w:r>
            <w:r>
              <w:rPr>
                <w:rFonts w:hint="eastAsia" w:ascii="Times New Roman"/>
                <w:color w:val="000000"/>
                <w:szCs w:val="21"/>
              </w:rPr>
              <w:t>0</w:t>
            </w:r>
            <w:r>
              <w:rPr>
                <w:rFonts w:ascii="Times New Roman"/>
                <w:color w:val="000000"/>
                <w:szCs w:val="21"/>
              </w:rPr>
              <w:t>.218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restart"/>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危险废物</w:t>
            </w: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废紫外灯管</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.003</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废催化板</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.03</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废活性炭</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r>
              <w:rPr>
                <w:rFonts w:ascii="Times New Roman" w:cs="宋体"/>
                <w:snapToGrid w:val="0"/>
                <w:color w:val="000000"/>
                <w:kern w:val="21"/>
                <w:szCs w:val="21"/>
                <w:lang w:val="en-US"/>
              </w:rPr>
              <w:t>.6307</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4" w:type="dxa"/>
            <w:vMerge w:val="continue"/>
            <w:vAlign w:val="center"/>
          </w:tcPr>
          <w:p>
            <w:pPr>
              <w:pStyle w:val="30"/>
              <w:spacing w:beforeLines="0" w:afterLines="0" w:line="240" w:lineRule="auto"/>
              <w:rPr>
                <w:rFonts w:ascii="Times New Roman" w:cs="宋体"/>
                <w:snapToGrid w:val="0"/>
                <w:color w:val="000000"/>
                <w:kern w:val="21"/>
                <w:szCs w:val="21"/>
                <w:lang w:val="en-US"/>
              </w:rPr>
            </w:pPr>
          </w:p>
        </w:tc>
        <w:tc>
          <w:tcPr>
            <w:tcW w:w="1843"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废环氧乙烷吸收液</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0</w:t>
            </w:r>
          </w:p>
        </w:tc>
        <w:tc>
          <w:tcPr>
            <w:tcW w:w="1559"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1</w:t>
            </w:r>
            <w:r>
              <w:rPr>
                <w:rFonts w:ascii="Times New Roman" w:cs="宋体"/>
                <w:snapToGrid w:val="0"/>
                <w:color w:val="000000"/>
                <w:kern w:val="21"/>
                <w:szCs w:val="21"/>
                <w:lang w:val="en-US"/>
              </w:rPr>
              <w:t>.5</w:t>
            </w:r>
          </w:p>
        </w:tc>
        <w:tc>
          <w:tcPr>
            <w:tcW w:w="1418" w:type="dxa"/>
            <w:vAlign w:val="center"/>
          </w:tcPr>
          <w:p>
            <w:pPr>
              <w:pStyle w:val="30"/>
              <w:spacing w:beforeLines="0" w:afterLines="0" w:line="240" w:lineRule="auto"/>
              <w:rPr>
                <w:rFonts w:ascii="Times New Roman" w:cs="宋体"/>
                <w:snapToGrid w:val="0"/>
                <w:color w:val="000000"/>
                <w:kern w:val="21"/>
                <w:szCs w:val="21"/>
                <w:lang w:val="en-US"/>
              </w:rPr>
            </w:pPr>
          </w:p>
        </w:tc>
        <w:tc>
          <w:tcPr>
            <w:tcW w:w="1701" w:type="dxa"/>
            <w:vAlign w:val="center"/>
          </w:tcPr>
          <w:p>
            <w:pPr>
              <w:pStyle w:val="30"/>
              <w:spacing w:beforeLines="0" w:afterLines="0" w:line="240" w:lineRule="auto"/>
              <w:rPr>
                <w:rFonts w:ascii="Times New Roman" w:cs="宋体"/>
                <w:snapToGrid w:val="0"/>
                <w:color w:val="000000"/>
                <w:kern w:val="21"/>
                <w:szCs w:val="21"/>
                <w:lang w:val="en-US"/>
              </w:rPr>
            </w:pPr>
            <w:r>
              <w:rPr>
                <w:rFonts w:hint="eastAsia" w:ascii="Times New Roman" w:cs="宋体"/>
                <w:snapToGrid w:val="0"/>
                <w:color w:val="000000"/>
                <w:kern w:val="21"/>
                <w:szCs w:val="21"/>
                <w:lang w:val="en-US"/>
              </w:rPr>
              <w:t>1</w:t>
            </w:r>
            <w:r>
              <w:rPr>
                <w:rFonts w:ascii="Times New Roman" w:cs="宋体"/>
                <w:snapToGrid w:val="0"/>
                <w:color w:val="000000"/>
                <w:kern w:val="21"/>
                <w:szCs w:val="21"/>
                <w:lang w:val="en-US"/>
              </w:rPr>
              <w:t>.5</w:t>
            </w:r>
          </w:p>
        </w:tc>
        <w:tc>
          <w:tcPr>
            <w:tcW w:w="1427" w:type="dxa"/>
            <w:vAlign w:val="center"/>
          </w:tcPr>
          <w:p>
            <w:pPr>
              <w:pStyle w:val="30"/>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hint="eastAsia" w:ascii="Times New Roman" w:cs="宋体"/>
                <w:snapToGrid w:val="0"/>
                <w:color w:val="000000"/>
                <w:kern w:val="21"/>
                <w:szCs w:val="21"/>
                <w:lang w:val="en-US"/>
              </w:rPr>
              <w:t>1</w:t>
            </w:r>
            <w:r>
              <w:rPr>
                <w:rFonts w:ascii="Times New Roman" w:cs="宋体"/>
                <w:snapToGrid w:val="0"/>
                <w:color w:val="000000"/>
                <w:kern w:val="21"/>
                <w:szCs w:val="21"/>
                <w:lang w:val="en-US"/>
              </w:rPr>
              <w:t>.5</w:t>
            </w:r>
          </w:p>
        </w:tc>
      </w:tr>
    </w:tbl>
    <w:p>
      <w:pPr>
        <w:pStyle w:val="30"/>
        <w:spacing w:before="192" w:beforeLines="80" w:after="24"/>
        <w:jc w:val="left"/>
        <w:rPr>
          <w:rFonts w:hAnsi="宋体"/>
          <w:snapToGrid w:val="0"/>
          <w:color w:val="000000"/>
          <w:spacing w:val="-6"/>
          <w:kern w:val="21"/>
          <w:szCs w:val="21"/>
          <w:lang w:val="en-US"/>
        </w:rPr>
        <w:sectPr>
          <w:footerReference r:id="rId4" w:type="default"/>
          <w:pgSz w:w="16838" w:h="11906" w:orient="landscape"/>
          <w:pgMar w:top="1701" w:right="1531" w:bottom="1701" w:left="1531" w:header="851" w:footer="851" w:gutter="0"/>
          <w:cols w:space="720" w:num="1"/>
          <w:docGrid w:linePitch="312" w:charSpace="0"/>
        </w:sectPr>
      </w:pPr>
      <w:r>
        <w:rPr>
          <w:rFonts w:hAnsi="宋体"/>
          <w:snapToGrid w:val="0"/>
          <w:color w:val="000000"/>
          <w:kern w:val="21"/>
          <w:szCs w:val="21"/>
        </w:rPr>
        <w:t>注</w:t>
      </w:r>
      <w:r>
        <w:rPr>
          <w:rFonts w:hAnsi="宋体"/>
          <w:snapToGrid w:val="0"/>
          <w:color w:val="000000"/>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Pr>
          <w:rFonts w:hint="eastAsia" w:hAnsi="宋体"/>
          <w:szCs w:val="21"/>
          <w:lang w:val="en-US"/>
        </w:rPr>
        <w:t>⑥</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Pr>
          <w:rFonts w:hint="eastAsia" w:hAnsi="宋体"/>
          <w:szCs w:val="21"/>
          <w:lang w:val="en-US"/>
        </w:rPr>
        <w:t>①</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3 \* GB3 \* MERGEFORMAT </w:instrText>
      </w:r>
      <w:r>
        <w:rPr>
          <w:rFonts w:hAnsi="宋体"/>
          <w:snapToGrid w:val="0"/>
          <w:color w:val="000000"/>
          <w:spacing w:val="-6"/>
          <w:kern w:val="21"/>
          <w:szCs w:val="21"/>
        </w:rPr>
        <w:fldChar w:fldCharType="separate"/>
      </w:r>
      <w:r>
        <w:rPr>
          <w:rFonts w:hint="eastAsia" w:hAnsi="宋体"/>
          <w:szCs w:val="21"/>
          <w:lang w:val="en-US"/>
        </w:rPr>
        <w:t>③</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4 \* GB3 \* MERGEFORMAT </w:instrText>
      </w:r>
      <w:r>
        <w:rPr>
          <w:rFonts w:hAnsi="宋体"/>
          <w:snapToGrid w:val="0"/>
          <w:color w:val="000000"/>
          <w:spacing w:val="-6"/>
          <w:kern w:val="21"/>
          <w:szCs w:val="21"/>
        </w:rPr>
        <w:fldChar w:fldCharType="separate"/>
      </w:r>
      <w:r>
        <w:rPr>
          <w:rFonts w:hint="eastAsia" w:hAnsi="宋体"/>
          <w:szCs w:val="21"/>
          <w:lang w:val="en-US"/>
        </w:rPr>
        <w:t>④</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5 \* GB3 \* MERGEFORMAT </w:instrText>
      </w:r>
      <w:r>
        <w:rPr>
          <w:rFonts w:hAnsi="宋体"/>
          <w:snapToGrid w:val="0"/>
          <w:color w:val="000000"/>
          <w:spacing w:val="-16"/>
          <w:kern w:val="21"/>
          <w:szCs w:val="21"/>
        </w:rPr>
        <w:fldChar w:fldCharType="separate"/>
      </w:r>
      <w:r>
        <w:rPr>
          <w:rFonts w:hint="eastAsia" w:hAnsi="宋体"/>
          <w:szCs w:val="21"/>
          <w:lang w:val="en-US"/>
        </w:rPr>
        <w:t>⑤</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7 \* GB3 \* MERGEFORMAT </w:instrText>
      </w:r>
      <w:r>
        <w:rPr>
          <w:rFonts w:hAnsi="宋体"/>
          <w:snapToGrid w:val="0"/>
          <w:color w:val="000000"/>
          <w:spacing w:val="-6"/>
          <w:kern w:val="21"/>
          <w:szCs w:val="21"/>
        </w:rPr>
        <w:fldChar w:fldCharType="separate"/>
      </w:r>
      <w:r>
        <w:rPr>
          <w:rFonts w:hint="eastAsia" w:hAnsi="宋体"/>
          <w:szCs w:val="21"/>
          <w:lang w:val="en-US"/>
        </w:rPr>
        <w:t>⑦</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Pr>
          <w:rFonts w:hint="eastAsia" w:hAnsi="宋体"/>
          <w:szCs w:val="21"/>
          <w:lang w:val="en-US"/>
        </w:rPr>
        <w:t>⑥</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Pr>
          <w:rFonts w:hint="eastAsia" w:hAnsi="宋体"/>
          <w:szCs w:val="21"/>
          <w:lang w:val="en-US"/>
        </w:rPr>
        <w:t>①</w:t>
      </w:r>
      <w:r>
        <w:rPr>
          <w:rFonts w:hAnsi="宋体"/>
          <w:snapToGrid w:val="0"/>
          <w:color w:val="000000"/>
          <w:spacing w:val="-6"/>
          <w:kern w:val="21"/>
          <w:szCs w:val="21"/>
        </w:rPr>
        <w:fldChar w:fldCharType="end"/>
      </w:r>
    </w:p>
    <w:p>
      <w:pPr>
        <w:jc w:val="center"/>
      </w:pPr>
      <w:r>
        <mc:AlternateContent>
          <mc:Choice Requires="wps">
            <w:drawing>
              <wp:anchor distT="0" distB="0" distL="114300" distR="114300" simplePos="0" relativeHeight="251675648" behindDoc="0" locked="0" layoutInCell="1" allowOverlap="1">
                <wp:simplePos x="0" y="0"/>
                <wp:positionH relativeFrom="column">
                  <wp:posOffset>389255</wp:posOffset>
                </wp:positionH>
                <wp:positionV relativeFrom="paragraph">
                  <wp:posOffset>5556885</wp:posOffset>
                </wp:positionV>
                <wp:extent cx="7948295" cy="281305"/>
                <wp:effectExtent l="19050" t="19050" r="14605" b="23495"/>
                <wp:wrapNone/>
                <wp:docPr id="35" name="文本框 35"/>
                <wp:cNvGraphicFramePr/>
                <a:graphic xmlns:a="http://schemas.openxmlformats.org/drawingml/2006/main">
                  <a:graphicData uri="http://schemas.microsoft.com/office/word/2010/wordprocessingShape">
                    <wps:wsp>
                      <wps:cNvSpPr txBox="1"/>
                      <wps:spPr>
                        <a:xfrm>
                          <a:off x="0" y="0"/>
                          <a:ext cx="7948295" cy="28130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eastAsia="黑体"/>
                                <w:bCs/>
                                <w:sz w:val="24"/>
                              </w:rPr>
                            </w:pPr>
                            <w:r>
                              <w:rPr>
                                <w:rFonts w:hint="eastAsia" w:eastAsia="黑体"/>
                                <w:bCs/>
                                <w:sz w:val="24"/>
                              </w:rPr>
                              <w:t>附图一  本项目地理位置图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5pt;margin-top:437.55pt;height:22.15pt;width:625.85pt;z-index:251675648;mso-width-relative:page;mso-height-relative:page;" filled="f" stroked="t" coordsize="21600,21600" o:gfxdata="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mz5&#10;ItsAAAALAQAADwAAAAAAAAABACAAAAAiAAAAZHJzL2Rvd25yZXYueG1sUEsBAhQAFAAAAAgAh07i&#10;QLuM/RFYAgAAoAQAAA4AAAAAAAAAAQAgAAAAKgEAAGRycy9lMm9Eb2MueG1sUEsFBgAAAAAGAAYA&#10;WQEAAPQFAAAAAA==&#10;">
                <v:fill on="f" focussize="0,0"/>
                <v:stroke weight="2.25pt" color="#000000 [3213]" joinstyle="round"/>
                <v:imagedata o:title=""/>
                <o:lock v:ext="edit" aspectratio="f"/>
                <v:textbox>
                  <w:txbxContent>
                    <w:p>
                      <w:pPr>
                        <w:jc w:val="center"/>
                        <w:rPr>
                          <w:rFonts w:eastAsia="黑体"/>
                          <w:bCs/>
                          <w:sz w:val="24"/>
                        </w:rPr>
                      </w:pPr>
                      <w:r>
                        <w:rPr>
                          <w:rFonts w:hint="eastAsia" w:eastAsia="黑体"/>
                          <w:bCs/>
                          <w:sz w:val="24"/>
                        </w:rPr>
                        <w:t>附图一  本项目地理位置图</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5019675</wp:posOffset>
                </wp:positionH>
                <wp:positionV relativeFrom="paragraph">
                  <wp:posOffset>127635</wp:posOffset>
                </wp:positionV>
                <wp:extent cx="3270885" cy="619125"/>
                <wp:effectExtent l="0" t="0" r="5715" b="9525"/>
                <wp:wrapNone/>
                <wp:docPr id="38" name="文本框 38"/>
                <wp:cNvGraphicFramePr/>
                <a:graphic xmlns:a="http://schemas.openxmlformats.org/drawingml/2006/main">
                  <a:graphicData uri="http://schemas.microsoft.com/office/word/2010/wordprocessingShape">
                    <wps:wsp>
                      <wps:cNvSpPr txBox="1"/>
                      <wps:spPr>
                        <a:xfrm>
                          <a:off x="0" y="0"/>
                          <a:ext cx="3270885"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25pt;margin-top:10.05pt;height:48.75pt;width:257.55pt;z-index:251672576;mso-width-relative:page;mso-height-relative:page;" fillcolor="#FFFFFF [3201]" filled="t" stroked="f" coordsize="21600,21600" o:gfxdata="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t8ZO9YAAAALAQAADwAA&#10;AAAAAAABACAAAAAiAAAAZHJzL2Rvd25yZXYueG1sUEsBAhQAFAAAAAgAh07iQHeQctxRAgAAkQQA&#10;AA4AAAAAAAAAAQAgAAAAJQEAAGRycy9lMm9Eb2MueG1sUEsFBgAAAAAGAAYAWQEAAOgFAAAAAA==&#10;">
                <v:fill on="t"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7642225</wp:posOffset>
                </wp:positionH>
                <wp:positionV relativeFrom="paragraph">
                  <wp:posOffset>33655</wp:posOffset>
                </wp:positionV>
                <wp:extent cx="772160" cy="7715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77216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462915" cy="673735"/>
                                  <wp:effectExtent l="0" t="0" r="13335" b="12065"/>
                                  <wp:docPr id="37" name="图片 37"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指北针"/>
                                          <pic:cNvPicPr>
                                            <a:picLocks noChangeAspect="1"/>
                                          </pic:cNvPicPr>
                                        </pic:nvPicPr>
                                        <pic:blipFill>
                                          <a:blip r:embed="rId39"/>
                                          <a:stretch>
                                            <a:fillRect/>
                                          </a:stretch>
                                        </pic:blipFill>
                                        <pic:spPr>
                                          <a:xfrm>
                                            <a:off x="0" y="0"/>
                                            <a:ext cx="46291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1.75pt;margin-top:2.65pt;height:60.75pt;width:60.8pt;z-index:251676672;mso-width-relative:page;mso-height-relative:page;" filled="f" stroked="f" coordsize="21600,21600" o:gfxdata="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pKOwNkAAAALAQAADwAAAAAAAAABACAAAAAiAAAAZHJz&#10;L2Rvd25yZXYueG1sUEsBAhQAFAAAAAgAh07iQLB7IsI8AgAAZwQAAA4AAAAAAAAAAQAgAAAAKAEA&#10;AGRycy9lMm9Eb2MueG1sUEsFBgAAAAAGAAYAWQEAANYFAAAAAA==&#10;">
                <v:fill on="f" focussize="0,0"/>
                <v:stroke on="f" weight="0.5pt"/>
                <v:imagedata o:title=""/>
                <o:lock v:ext="edit" aspectratio="f"/>
                <v:textbo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462915" cy="673735"/>
                            <wp:effectExtent l="0" t="0" r="13335" b="12065"/>
                            <wp:docPr id="37" name="图片 37"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指北针"/>
                                    <pic:cNvPicPr>
                                      <a:picLocks noChangeAspect="1"/>
                                    </pic:cNvPicPr>
                                  </pic:nvPicPr>
                                  <pic:blipFill>
                                    <a:blip r:embed="rId39"/>
                                    <a:stretch>
                                      <a:fillRect/>
                                    </a:stretch>
                                  </pic:blipFill>
                                  <pic:spPr>
                                    <a:xfrm>
                                      <a:off x="0" y="0"/>
                                      <a:ext cx="462915" cy="67373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5467350</wp:posOffset>
                </wp:positionH>
                <wp:positionV relativeFrom="paragraph">
                  <wp:posOffset>2404110</wp:posOffset>
                </wp:positionV>
                <wp:extent cx="776605" cy="342900"/>
                <wp:effectExtent l="351790" t="9525" r="14605" b="104775"/>
                <wp:wrapNone/>
                <wp:docPr id="2"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86592"/>
                            <a:gd name="adj2" fmla="val 6560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 o:spid="_x0000_s1026" o:spt="61" type="#_x0000_t61" style="position:absolute;left:0pt;margin-left:430.5pt;margin-top:189.3pt;height:27pt;width:61.15pt;z-index:251681792;v-text-anchor:middle;mso-width-relative:page;mso-height-relative:page;" filled="f" stroked="t" coordsize="21600,21600" o:gfxdata="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ra37w2gAAAAsBAAAPAAAAAAAAAAEAIAAAACIAAABkcnMvZG93bnJl&#10;di54bWxQSwECFAAUAAAACACHTuJAhi6NEqYCAAA6BQAADgAAAAAAAAABACAAAAApAQAAZHJzL2Uy&#10;b0RvYy54bWxQSwUGAAAAAAYABgBZAQAAQQYAAAAA&#10;" adj="-7904,24970">
                <v:fill on="f" focussize="0,0"/>
                <v:stroke weight="1.5pt" color="#000000 [3213]" miterlimit="8" joinstyle="miter"/>
                <v:imagedata o:title=""/>
                <o:lock v:ext="edit" aspectratio="f"/>
                <v:textbox>
                  <w:txbxContent>
                    <w:p>
                      <w:pPr>
                        <w:spacing w:line="36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本项目</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5143500</wp:posOffset>
                </wp:positionH>
                <wp:positionV relativeFrom="paragraph">
                  <wp:posOffset>2766060</wp:posOffset>
                </wp:positionV>
                <wp:extent cx="47625" cy="77470"/>
                <wp:effectExtent l="6350" t="6350" r="22225" b="11430"/>
                <wp:wrapNone/>
                <wp:docPr id="4" name="椭圆 4"/>
                <wp:cNvGraphicFramePr/>
                <a:graphic xmlns:a="http://schemas.openxmlformats.org/drawingml/2006/main">
                  <a:graphicData uri="http://schemas.microsoft.com/office/word/2010/wordprocessingShape">
                    <wps:wsp>
                      <wps:cNvSpPr/>
                      <wps:spPr>
                        <a:xfrm>
                          <a:off x="0" y="0"/>
                          <a:ext cx="47625" cy="776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5pt;margin-top:217.8pt;height:6.1pt;width:3.75pt;z-index:251680768;v-text-anchor:middle;mso-width-relative:page;mso-height-relative:page;" fillcolor="#000000 [3213]" filled="t" stroked="t" coordsize="21600,21600" o:gfxdata="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NmFk2wAAAAsBAAAPAAAAAAAAAAEAIAAAACIAAABkcnMvZG93bnJldi54&#10;bWxQSwECFAAUAAAACACHTuJA4wNLWWkCAAD0BAAADgAAAAAAAAABACAAAAAqAQAAZHJzL2Uyb0Rv&#10;Yy54bWxQSwUGAAAAAAYABgBZAQAABQYAAAAA&#10;">
                <v:fill on="t" focussize="0,0"/>
                <v:stroke weight="1pt" color="#000000 [3213]" miterlimit="8" joinstyle="miter"/>
                <v:imagedata o:title=""/>
                <o:lock v:ext="edit" aspectratio="f"/>
              </v:shape>
            </w:pict>
          </mc:Fallback>
        </mc:AlternateContent>
      </w:r>
      <w:r>
        <w:drawing>
          <wp:anchor distT="0" distB="0" distL="114300" distR="114300" simplePos="0" relativeHeight="251679744" behindDoc="0" locked="0" layoutInCell="1" allowOverlap="1">
            <wp:simplePos x="0" y="0"/>
            <wp:positionH relativeFrom="column">
              <wp:posOffset>3348355</wp:posOffset>
            </wp:positionH>
            <wp:positionV relativeFrom="paragraph">
              <wp:posOffset>1765935</wp:posOffset>
            </wp:positionV>
            <wp:extent cx="3177540" cy="2114550"/>
            <wp:effectExtent l="19050" t="19050" r="22860" b="190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cstate="email"/>
                    <a:stretch>
                      <a:fillRect/>
                    </a:stretch>
                  </pic:blipFill>
                  <pic:spPr>
                    <a:xfrm>
                      <a:off x="0" y="0"/>
                      <a:ext cx="3177540" cy="2114550"/>
                    </a:xfrm>
                    <a:prstGeom prst="rect">
                      <a:avLst/>
                    </a:prstGeom>
                    <a:ln w="19050">
                      <a:solidFill>
                        <a:schemeClr val="tx1"/>
                      </a:solidFill>
                    </a:ln>
                  </pic:spPr>
                </pic:pic>
              </a:graphicData>
            </a:graphic>
          </wp:anchor>
        </w:drawing>
      </w:r>
      <w:r>
        <mc:AlternateContent>
          <mc:Choice Requires="wps">
            <w:drawing>
              <wp:anchor distT="0" distB="0" distL="114300" distR="114300" simplePos="0" relativeHeight="251677696" behindDoc="0" locked="0" layoutInCell="1" allowOverlap="1">
                <wp:simplePos x="0" y="0"/>
                <wp:positionH relativeFrom="column">
                  <wp:posOffset>2425700</wp:posOffset>
                </wp:positionH>
                <wp:positionV relativeFrom="paragraph">
                  <wp:posOffset>3876675</wp:posOffset>
                </wp:positionV>
                <wp:extent cx="919480" cy="359410"/>
                <wp:effectExtent l="3175" t="8890" r="10795" b="12700"/>
                <wp:wrapNone/>
                <wp:docPr id="11" name="直接连接符 11"/>
                <wp:cNvGraphicFramePr/>
                <a:graphic xmlns:a="http://schemas.openxmlformats.org/drawingml/2006/main">
                  <a:graphicData uri="http://schemas.microsoft.com/office/word/2010/wordprocessingShape">
                    <wps:wsp>
                      <wps:cNvCnPr/>
                      <wps:spPr>
                        <a:xfrm flipV="1">
                          <a:off x="0" y="0"/>
                          <a:ext cx="919480" cy="359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91pt;margin-top:305.25pt;height:28.3pt;width:72.4pt;z-index:251677696;mso-width-relative:page;mso-height-relative:page;" filled="f" stroked="t" coordsize="21600,21600" o:gfxdata="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ol+TYAAAACwEAAA8AAAAAAAAAAQAgAAAAIgAAAGRycy9kb3ducmV2LnhtbFBLAQIUABQA&#10;AAAIAIdO4kAfypC88AEAAMIDAAAOAAAAAAAAAAEAIAAAACcBAABkcnMvZTJvRG9jLnhtbFBLBQYA&#10;AAAABgAGAFkBAACJBQAAAAA=&#10;">
                <v:fill on="f" focussize="0,0"/>
                <v:stroke weight="1.5pt" color="#000000 [3213]" miterlimit="8" joinstyle="miter"/>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2032635</wp:posOffset>
                </wp:positionH>
                <wp:positionV relativeFrom="paragraph">
                  <wp:posOffset>4236720</wp:posOffset>
                </wp:positionV>
                <wp:extent cx="392430" cy="260985"/>
                <wp:effectExtent l="9525" t="9525" r="17145" b="15240"/>
                <wp:wrapNone/>
                <wp:docPr id="32" name="矩形 32"/>
                <wp:cNvGraphicFramePr/>
                <a:graphic xmlns:a="http://schemas.openxmlformats.org/drawingml/2006/main">
                  <a:graphicData uri="http://schemas.microsoft.com/office/word/2010/wordprocessingShape">
                    <wps:wsp>
                      <wps:cNvSpPr/>
                      <wps:spPr>
                        <a:xfrm>
                          <a:off x="0" y="0"/>
                          <a:ext cx="392430" cy="2609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05pt;margin-top:333.6pt;height:20.55pt;width:30.9pt;z-index:251674624;v-text-anchor:middle;mso-width-relative:page;mso-height-relative:page;" filled="f" stroked="t" coordsize="21600,21600" o:gfxdata="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403s3bAAAACwEAAA8AAAAAAAAAAQAgAAAAIgAAAGRycy9kb3ducmV2Lnht&#10;bFBLAQIUABQAAAAIAIdO4kBRjQbVaAIAAMwEAAAOAAAAAAAAAAEAIAAAACoBAABkcnMvZTJvRG9j&#10;LnhtbFBLBQYAAAAABgAGAFkBAAAEBgAAAAA=&#10;">
                <v:fill on="f" focussize="0,0"/>
                <v:stroke weight="1.5pt" color="#000000 [3213]" miterlimit="8" joinstyle="miter"/>
                <v:imagedata o:title=""/>
                <o:lock v:ext="edit" aspectratio="f"/>
              </v:rect>
            </w:pict>
          </mc:Fallback>
        </mc:AlternateContent>
      </w:r>
      <w:r>
        <w:rPr>
          <w:rFonts w:hint="eastAsia"/>
        </w:rPr>
        <w:drawing>
          <wp:inline distT="0" distB="0" distL="114300" distR="114300">
            <wp:extent cx="7919085" cy="5514975"/>
            <wp:effectExtent l="28575" t="28575" r="34290" b="38100"/>
            <wp:docPr id="39" name="图片 39" descr="新乡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乡地图"/>
                    <pic:cNvPicPr>
                      <a:picLocks noChangeAspect="1"/>
                    </pic:cNvPicPr>
                  </pic:nvPicPr>
                  <pic:blipFill>
                    <a:blip r:embed="rId41" cstate="email"/>
                    <a:stretch>
                      <a:fillRect/>
                    </a:stretch>
                  </pic:blipFill>
                  <pic:spPr>
                    <a:xfrm>
                      <a:off x="0" y="0"/>
                      <a:ext cx="7922182" cy="5517066"/>
                    </a:xfrm>
                    <a:prstGeom prst="rect">
                      <a:avLst/>
                    </a:prstGeom>
                    <a:ln w="28575">
                      <a:solidFill>
                        <a:schemeClr val="tx1"/>
                      </a:solidFill>
                    </a:ln>
                  </pic:spPr>
                </pic:pic>
              </a:graphicData>
            </a:graphic>
          </wp:inline>
        </w:drawing>
      </w:r>
    </w:p>
    <w:p>
      <w:pPr>
        <w:jc w:val="center"/>
      </w:pPr>
      <w:r>
        <mc:AlternateContent>
          <mc:Choice Requires="wps">
            <w:drawing>
              <wp:anchor distT="45720" distB="45720" distL="114300" distR="114300" simplePos="0" relativeHeight="251662336" behindDoc="0" locked="0" layoutInCell="1" allowOverlap="1">
                <wp:simplePos x="0" y="0"/>
                <wp:positionH relativeFrom="column">
                  <wp:posOffset>542925</wp:posOffset>
                </wp:positionH>
                <wp:positionV relativeFrom="paragraph">
                  <wp:posOffset>5890260</wp:posOffset>
                </wp:positionV>
                <wp:extent cx="7642860" cy="314325"/>
                <wp:effectExtent l="19050" t="19050" r="15240" b="2857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42860" cy="314325"/>
                        </a:xfrm>
                        <a:prstGeom prst="rect">
                          <a:avLst/>
                        </a:prstGeom>
                        <a:solidFill>
                          <a:srgbClr val="FFFFFF"/>
                        </a:solidFill>
                        <a:ln w="28575">
                          <a:solidFill>
                            <a:srgbClr val="000000"/>
                          </a:solidFill>
                          <a:miter lim="800000"/>
                        </a:ln>
                      </wps:spPr>
                      <wps:txbx>
                        <w:txbxContent>
                          <w:p>
                            <w:pPr>
                              <w:snapToGrid w:val="0"/>
                              <w:jc w:val="center"/>
                              <w:rPr>
                                <w:rFonts w:eastAsia="黑体"/>
                                <w:sz w:val="24"/>
                              </w:rPr>
                            </w:pPr>
                            <w:r>
                              <w:rPr>
                                <w:rFonts w:hint="eastAsia" w:eastAsia="黑体"/>
                                <w:sz w:val="24"/>
                              </w:rPr>
                              <w:t xml:space="preserve">附图二 </w:t>
                            </w:r>
                            <w:r>
                              <w:rPr>
                                <w:rFonts w:eastAsia="黑体"/>
                                <w:sz w:val="24"/>
                              </w:rPr>
                              <w:t xml:space="preserve"> </w:t>
                            </w:r>
                            <w:r>
                              <w:rPr>
                                <w:rFonts w:hint="eastAsia" w:eastAsia="黑体"/>
                                <w:sz w:val="24"/>
                              </w:rPr>
                              <w:t>本项目用地规划图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2.75pt;margin-top:463.8pt;height:24.75pt;width:601.8pt;z-index:251662336;mso-width-relative:page;mso-height-relative:page;" fillcolor="#FFFFFF" filled="t" stroked="t" coordsize="21600,21600" o:gfxdata="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mbyK2gAAAAsBAAAPAAAAAAAAAAEAIAAAACIAAABk&#10;cnMvZG93bnJldi54bWxQSwECFAAUAAAACACHTuJAhhYUPD0CAAB+BAAADgAAAAAAAAABACAAAAAp&#10;AQAAZHJzL2Uyb0RvYy54bWxQSwUGAAAAAAYABgBZAQAA2AUAAAAA&#10;">
                <v:fill on="t" focussize="0,0"/>
                <v:stroke weight="2.25pt" color="#000000" miterlimit="8" joinstyle="miter"/>
                <v:imagedata o:title=""/>
                <o:lock v:ext="edit" aspectratio="f"/>
                <v:textbox>
                  <w:txbxContent>
                    <w:p>
                      <w:pPr>
                        <w:snapToGrid w:val="0"/>
                        <w:jc w:val="center"/>
                        <w:rPr>
                          <w:rFonts w:eastAsia="黑体"/>
                          <w:sz w:val="24"/>
                        </w:rPr>
                      </w:pPr>
                      <w:r>
                        <w:rPr>
                          <w:rFonts w:hint="eastAsia" w:eastAsia="黑体"/>
                          <w:sz w:val="24"/>
                        </w:rPr>
                        <w:t xml:space="preserve">附图二 </w:t>
                      </w:r>
                      <w:r>
                        <w:rPr>
                          <w:rFonts w:eastAsia="黑体"/>
                          <w:sz w:val="24"/>
                        </w:rPr>
                        <w:t xml:space="preserve"> </w:t>
                      </w:r>
                      <w:r>
                        <w:rPr>
                          <w:rFonts w:hint="eastAsia" w:eastAsia="黑体"/>
                          <w:sz w:val="24"/>
                        </w:rPr>
                        <w:t>本项目用地规划图</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5972175</wp:posOffset>
                </wp:positionH>
                <wp:positionV relativeFrom="paragraph">
                  <wp:posOffset>1961515</wp:posOffset>
                </wp:positionV>
                <wp:extent cx="1181100" cy="345440"/>
                <wp:effectExtent l="305435" t="9525" r="18415" b="407035"/>
                <wp:wrapNone/>
                <wp:docPr id="40" name="对话气泡: 圆角矩形 9"/>
                <wp:cNvGraphicFramePr/>
                <a:graphic xmlns:a="http://schemas.openxmlformats.org/drawingml/2006/main">
                  <a:graphicData uri="http://schemas.microsoft.com/office/word/2010/wordprocessingShape">
                    <wps:wsp>
                      <wps:cNvSpPr/>
                      <wps:spPr>
                        <a:xfrm>
                          <a:off x="0" y="0"/>
                          <a:ext cx="1181100" cy="345440"/>
                        </a:xfrm>
                        <a:prstGeom prst="wedgeRoundRectCallout">
                          <a:avLst>
                            <a:gd name="adj1" fmla="val -70396"/>
                            <a:gd name="adj2" fmla="val 153183"/>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b/>
                                <w:bCs/>
                                <w:color w:val="FF0000"/>
                                <w:sz w:val="24"/>
                              </w:rPr>
                            </w:pPr>
                            <w:r>
                              <w:rPr>
                                <w:rFonts w:hint="eastAsia" w:ascii="宋体" w:hAnsi="宋体"/>
                                <w:b/>
                                <w:bCs/>
                                <w:color w:val="FF0000"/>
                                <w:sz w:val="24"/>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470.25pt;margin-top:154.45pt;height:27.2pt;width:93pt;mso-position-horizontal-relative:margin;z-index:251663360;v-text-anchor:middle;mso-width-relative:page;mso-height-relative:page;" filled="f" stroked="t" coordsize="21600,21600" o:gfxdata="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R3vebcAAAADAEAAA8AAAAAAAAAAQAgAAAAIgAAAGRycy9kb3ducmV2LnhtbFBLAQIUABQAAAAI&#10;AIdO4kB+PmruzQIAAHMFAAAOAAAAAAAAAAEAIAAAACsBAABkcnMvZTJvRG9jLnhtbFBLBQYAAAAA&#10;BgAGAFkBAABqBgAAAAA=&#10;" adj="-4406,43888,14400">
                <v:fill on="f" focussize="0,0"/>
                <v:stroke weight="1.5pt" color="#FF0000 [3204]" miterlimit="8" joinstyle="miter"/>
                <v:imagedata o:title=""/>
                <o:lock v:ext="edit" aspectratio="f"/>
                <v:textbox>
                  <w:txbxContent>
                    <w:p>
                      <w:pPr>
                        <w:jc w:val="center"/>
                        <w:rPr>
                          <w:rFonts w:ascii="宋体" w:hAnsi="宋体"/>
                          <w:b/>
                          <w:bCs/>
                          <w:color w:val="FF0000"/>
                          <w:sz w:val="24"/>
                        </w:rPr>
                      </w:pPr>
                      <w:r>
                        <w:rPr>
                          <w:rFonts w:hint="eastAsia" w:ascii="宋体" w:hAnsi="宋体"/>
                          <w:b/>
                          <w:bCs/>
                          <w:color w:val="FF0000"/>
                          <w:sz w:val="24"/>
                        </w:rPr>
                        <w:t>本项目位置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5686425</wp:posOffset>
                </wp:positionH>
                <wp:positionV relativeFrom="paragraph">
                  <wp:posOffset>2609215</wp:posOffset>
                </wp:positionV>
                <wp:extent cx="75565" cy="66675"/>
                <wp:effectExtent l="8255" t="9525" r="11430" b="19050"/>
                <wp:wrapNone/>
                <wp:docPr id="41" name="等腰三角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 cy="66675"/>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447.75pt;margin-top:205.45pt;height:5.25pt;width:5.95pt;z-index:251664384;mso-width-relative:page;mso-height-relative:page;" fillcolor="#FF0000" filled="t" stroked="t" coordsize="21600,21600" o:gfxdata="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xWW2QAAAAsBAAAPAAAAAAAAAAEAIAAAACIAAABkcnMvZG93bnJldi54bWxQSwECFAAUAAAA&#10;CACHTuJAY9ItWV8CAAC6BAAADgAAAAAAAAABACAAAAAoAQAAZHJzL2Uyb0RvYy54bWxQSwUGAAAA&#10;AAYABgBZAQAA+QUAAAAA&#10;" adj="10800">
                <v:fill on="t" focussize="0,0"/>
                <v:stroke color="#FF0000" miterlimit="8" joinstyle="miter"/>
                <v:imagedata o:title=""/>
                <o:lock v:ext="edit" aspectratio="t"/>
              </v:shape>
            </w:pict>
          </mc:Fallback>
        </mc:AlternateContent>
      </w:r>
      <w:r>
        <w:drawing>
          <wp:inline distT="0" distB="0" distL="0" distR="0">
            <wp:extent cx="7611110" cy="5848350"/>
            <wp:effectExtent l="28575" t="28575" r="37465" b="285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cstate="email"/>
                    <a:stretch>
                      <a:fillRect/>
                    </a:stretch>
                  </pic:blipFill>
                  <pic:spPr>
                    <a:xfrm>
                      <a:off x="0" y="0"/>
                      <a:ext cx="7634816" cy="5866307"/>
                    </a:xfrm>
                    <a:prstGeom prst="rect">
                      <a:avLst/>
                    </a:prstGeom>
                    <a:ln w="28575">
                      <a:solidFill>
                        <a:schemeClr val="tx1"/>
                      </a:solidFill>
                    </a:ln>
                  </pic:spPr>
                </pic:pic>
              </a:graphicData>
            </a:graphic>
          </wp:inline>
        </w:drawing>
      </w:r>
    </w:p>
    <w:p>
      <w:pPr>
        <w:jc w:val="center"/>
        <w:sectPr>
          <w:pgSz w:w="16838" w:h="11906" w:orient="landscape"/>
          <w:pgMar w:top="1134" w:right="1531" w:bottom="1134" w:left="1531" w:header="851" w:footer="851" w:gutter="0"/>
          <w:cols w:space="720" w:num="1"/>
          <w:docGrid w:linePitch="312" w:charSpace="0"/>
        </w:sectPr>
      </w:pPr>
    </w:p>
    <w:p>
      <w:pPr>
        <w:jc w:val="center"/>
      </w:pPr>
    </w:p>
    <w:p>
      <w:pPr>
        <w:jc w:val="center"/>
      </w:pPr>
    </w:p>
    <w:p>
      <w:pPr>
        <w:jc w:val="center"/>
      </w:pPr>
    </w:p>
    <w:p>
      <w:pPr>
        <w:jc w:val="center"/>
      </w:pPr>
    </w:p>
    <w:p>
      <w:pPr>
        <w:jc w:val="center"/>
      </w:pPr>
    </w:p>
    <w:p>
      <w:pPr>
        <w:jc w:val="center"/>
      </w:pPr>
    </w:p>
    <w:p>
      <w:pPr>
        <w:jc w:val="center"/>
      </w:pPr>
      <w:r>
        <mc:AlternateContent>
          <mc:Choice Requires="wps">
            <w:drawing>
              <wp:anchor distT="45720" distB="45720" distL="114300" distR="114300" simplePos="0" relativeHeight="251665408" behindDoc="0" locked="0" layoutInCell="1" allowOverlap="1">
                <wp:simplePos x="0" y="0"/>
                <wp:positionH relativeFrom="column">
                  <wp:posOffset>375920</wp:posOffset>
                </wp:positionH>
                <wp:positionV relativeFrom="paragraph">
                  <wp:posOffset>5685790</wp:posOffset>
                </wp:positionV>
                <wp:extent cx="5201920" cy="1404620"/>
                <wp:effectExtent l="19050" t="19050" r="17780" b="25400"/>
                <wp:wrapNone/>
                <wp:docPr id="4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01920" cy="1404620"/>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附图三 </w:t>
                            </w:r>
                            <w:r>
                              <w:rPr>
                                <w:rFonts w:eastAsia="黑体"/>
                                <w:sz w:val="24"/>
                              </w:rPr>
                              <w:t xml:space="preserve"> </w:t>
                            </w:r>
                            <w:r>
                              <w:rPr>
                                <w:rFonts w:hint="eastAsia" w:eastAsia="黑体"/>
                                <w:sz w:val="24"/>
                              </w:rPr>
                              <w:t>河南意诺康医疗器械有限公司厂区平面布局图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9.6pt;margin-top:447.7pt;height:110.6pt;width:409.6pt;z-index:251665408;mso-width-relative:page;mso-height-relative:margin;mso-height-percent:200;" fillcolor="#FFFFFF" filled="t" stroked="t" coordsize="21600,21600" o:gfxdata="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O8OJHZAAAACwEAAA8AAAAAAAAAAQAgAAAAIgAAAGRycy9k&#10;b3ducmV2LnhtbFBLAQIUABQAAAAIAIdO4kC7/AH4OgIAAH4EAAAOAAAAAAAAAAEAIAAAACgBAABk&#10;cnMvZTJvRG9jLnhtbFBLBQYAAAAABgAGAFkBAADUBQAAAAA=&#10;">
                <v:fill on="t" focussize="0,0"/>
                <v:stroke weight="2.25pt" color="#000000" miterlimit="8" joinstyle="miter"/>
                <v:imagedata o:title=""/>
                <o:lock v:ext="edit" aspectratio="f"/>
                <v:textbox style="mso-fit-shape-to-text:t;">
                  <w:txbxContent>
                    <w:p>
                      <w:pPr>
                        <w:jc w:val="center"/>
                        <w:rPr>
                          <w:rFonts w:eastAsia="黑体"/>
                          <w:sz w:val="24"/>
                        </w:rPr>
                      </w:pPr>
                      <w:r>
                        <w:rPr>
                          <w:rFonts w:hint="eastAsia" w:eastAsia="黑体"/>
                          <w:sz w:val="24"/>
                        </w:rPr>
                        <w:t xml:space="preserve">附图三 </w:t>
                      </w:r>
                      <w:r>
                        <w:rPr>
                          <w:rFonts w:eastAsia="黑体"/>
                          <w:sz w:val="24"/>
                        </w:rPr>
                        <w:t xml:space="preserve"> </w:t>
                      </w:r>
                      <w:r>
                        <w:rPr>
                          <w:rFonts w:hint="eastAsia" w:eastAsia="黑体"/>
                          <w:sz w:val="24"/>
                        </w:rPr>
                        <w:t>河南意诺康医疗器械有限公司厂区平面布局图</w:t>
                      </w:r>
                    </w:p>
                  </w:txbxContent>
                </v:textbox>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4057650</wp:posOffset>
                </wp:positionH>
                <wp:positionV relativeFrom="paragraph">
                  <wp:posOffset>5411470</wp:posOffset>
                </wp:positionV>
                <wp:extent cx="981075" cy="281305"/>
                <wp:effectExtent l="0" t="0" r="0" b="0"/>
                <wp:wrapNone/>
                <wp:docPr id="44" name="文本框 44"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981075" cy="281305"/>
                        </a:xfrm>
                        <a:prstGeom prst="rect">
                          <a:avLst/>
                        </a:prstGeom>
                        <a:solidFill>
                          <a:schemeClr val="bg1">
                            <a:lumMod val="100000"/>
                            <a:lumOff val="0"/>
                            <a:alpha val="0"/>
                          </a:schemeClr>
                        </a:solidFill>
                        <a:ln>
                          <a:noFill/>
                        </a:ln>
                      </wps:spPr>
                      <wps:txbx>
                        <w:txbxContent>
                          <w:p>
                            <w:pPr>
                              <w:rPr>
                                <w:b/>
                                <w:szCs w:val="21"/>
                              </w:rPr>
                            </w:pPr>
                            <w:r>
                              <w:rPr>
                                <w:rFonts w:hint="eastAsia"/>
                                <w:b/>
                                <w:szCs w:val="21"/>
                              </w:rPr>
                              <w:t>比例：</w:t>
                            </w:r>
                            <w:r>
                              <w:rPr>
                                <w:b/>
                                <w:szCs w:val="21"/>
                              </w:rPr>
                              <w:t>1:1600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319.5pt;margin-top:426.1pt;height:22.15pt;width:77.25pt;z-index:251666432;mso-width-relative:page;mso-height-relative:page;" fillcolor="#FFFFFF [3228]" filled="t" stroked="f" coordsize="21600,21600" o:gfxdata="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cHFc9oAAAALAQAADwAAAAAAAAABACAAAAAiAAAAZHJzL2Rvd25yZXYueG1s&#10;UEsBAhQAFAAAAAgAh07iQIQPBoxoAgAAqwQAAA4AAAAAAAAAAQAgAAAAKQEAAGRycy9lMm9Eb2Mu&#10;eG1sUEsFBgAAAAAGAAYAWQEAAAMGAAAAAA==&#10;">
                <v:fill on="t" opacity="0f" focussize="0,0"/>
                <v:stroke on="f"/>
                <v:imagedata o:title=""/>
                <o:lock v:ext="edit" aspectratio="f"/>
                <v:textbox>
                  <w:txbxContent>
                    <w:p>
                      <w:pPr>
                        <w:rPr>
                          <w:b/>
                          <w:szCs w:val="21"/>
                        </w:rPr>
                      </w:pPr>
                      <w:r>
                        <w:rPr>
                          <w:rFonts w:hint="eastAsia"/>
                          <w:b/>
                          <w:szCs w:val="21"/>
                        </w:rPr>
                        <w:t>比例：</w:t>
                      </w:r>
                      <w:r>
                        <w:rPr>
                          <w:b/>
                          <w:szCs w:val="21"/>
                        </w:rPr>
                        <w:t>1:1600</w:t>
                      </w:r>
                    </w:p>
                  </w:txbxContent>
                </v:textbox>
              </v:shape>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column">
                  <wp:posOffset>4686300</wp:posOffset>
                </wp:positionH>
                <wp:positionV relativeFrom="paragraph">
                  <wp:posOffset>5091430</wp:posOffset>
                </wp:positionV>
                <wp:extent cx="438150" cy="28130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381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Cs w:val="21"/>
                              </w:rPr>
                            </w:pPr>
                            <w:r>
                              <w:rPr>
                                <w:b/>
                                <w:szCs w:val="21"/>
                              </w:rPr>
                              <w:t>32m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pt;margin-top:400.9pt;height:22.15pt;width:34.5pt;z-index:251668480;mso-width-relative:page;mso-height-relative:page;" filled="f" stroked="f" coordsize="21600,21600" o:gfxdata="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F2q17bAAAACwEAAA8AAAAAAAAAAQAgAAAA&#10;IgAAAGRycy9kb3ducmV2LnhtbFBLAQIUABQAAAAIAIdO4kD5TRu1QQIAAHUEAAAOAAAAAAAAAAEA&#10;IAAAACoBAABkcnMvZTJvRG9jLnhtbFBLBQYAAAAABgAGAFkBAADdBQAAAAA=&#10;">
                <v:fill on="f" focussize="0,0"/>
                <v:stroke on="f" weight="0.5pt"/>
                <v:imagedata o:title=""/>
                <o:lock v:ext="edit" aspectratio="f"/>
                <v:textbox>
                  <w:txbxContent>
                    <w:p>
                      <w:pPr>
                        <w:rPr>
                          <w:b/>
                          <w:szCs w:val="21"/>
                        </w:rPr>
                      </w:pPr>
                      <w:r>
                        <w:rPr>
                          <w:b/>
                          <w:szCs w:val="21"/>
                        </w:rPr>
                        <w:t>32m</w:t>
                      </w:r>
                    </w:p>
                  </w:txbxContent>
                </v:textbox>
              </v:shape>
            </w:pict>
          </mc:Fallback>
        </mc:AlternateContent>
      </w:r>
      <w:r>
        <w:rPr>
          <w:rFonts w:hint="eastAsia"/>
        </w:rPr>
        <mc:AlternateContent>
          <mc:Choice Requires="wps">
            <w:drawing>
              <wp:anchor distT="0" distB="0" distL="114300" distR="114300" simplePos="0" relativeHeight="251667456" behindDoc="0" locked="0" layoutInCell="1" allowOverlap="1">
                <wp:simplePos x="0" y="0"/>
                <wp:positionH relativeFrom="column">
                  <wp:posOffset>4076700</wp:posOffset>
                </wp:positionH>
                <wp:positionV relativeFrom="paragraph">
                  <wp:posOffset>5086350</wp:posOffset>
                </wp:positionV>
                <wp:extent cx="285750" cy="28130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857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Cs w:val="21"/>
                              </w:rPr>
                            </w:pPr>
                            <w:r>
                              <w:rPr>
                                <w:b/>
                                <w:szCs w:val="21"/>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pt;margin-top:400.5pt;height:22.15pt;width:22.5pt;z-index:251667456;mso-width-relative:page;mso-height-relative:page;" filled="f" stroked="f" coordsize="21600,21600" o:gfxdata="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xSnCDcAAAACwEAAA8AAAAAAAAAAQAgAAAA&#10;IgAAAGRycy9kb3ducmV2LnhtbFBLAQIUABQAAAAIAIdO4kDKXTBBQAIAAHUEAAAOAAAAAAAAAAEA&#10;IAAAACsBAABkcnMvZTJvRG9jLnhtbFBLBQYAAAAABgAGAFkBAADdBQAAAAA=&#10;">
                <v:fill on="f" focussize="0,0"/>
                <v:stroke on="f" weight="0.5pt"/>
                <v:imagedata o:title=""/>
                <o:lock v:ext="edit" aspectratio="f"/>
                <v:textbox>
                  <w:txbxContent>
                    <w:p>
                      <w:pPr>
                        <w:rPr>
                          <w:b/>
                          <w:szCs w:val="21"/>
                        </w:rPr>
                      </w:pPr>
                      <w:r>
                        <w:rPr>
                          <w:b/>
                          <w:szCs w:val="21"/>
                        </w:rPr>
                        <w:t>0</w:t>
                      </w:r>
                    </w:p>
                  </w:txbxContent>
                </v:textbox>
              </v:shape>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column">
                  <wp:posOffset>4371975</wp:posOffset>
                </wp:positionH>
                <wp:positionV relativeFrom="paragraph">
                  <wp:posOffset>5105400</wp:posOffset>
                </wp:positionV>
                <wp:extent cx="371475" cy="28130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714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Cs w:val="21"/>
                              </w:rPr>
                            </w:pPr>
                            <w:r>
                              <w:rPr>
                                <w:b/>
                                <w:szCs w:val="21"/>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25pt;margin-top:402pt;height:22.15pt;width:29.25pt;z-index:251669504;mso-width-relative:page;mso-height-relative:page;" filled="f" stroked="f" coordsize="21600,21600" o:gfxdata="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dPmDPcAAAACwEAAA8AAAAAAAAAAQAg&#10;AAAAIgAAAGRycy9kb3ducmV2LnhtbFBLAQIUABQAAAAIAIdO4kCeLcV3QwIAAHUEAAAOAAAAAAAA&#10;AAEAIAAAACsBAABkcnMvZTJvRG9jLnhtbFBLBQYAAAAABgAGAFkBAADgBQAAAAA=&#10;">
                <v:fill on="f" focussize="0,0"/>
                <v:stroke on="f" weight="0.5pt"/>
                <v:imagedata o:title=""/>
                <o:lock v:ext="edit" aspectratio="f"/>
                <v:textbox>
                  <w:txbxContent>
                    <w:p>
                      <w:pPr>
                        <w:rPr>
                          <w:b/>
                          <w:szCs w:val="21"/>
                        </w:rPr>
                      </w:pPr>
                      <w:r>
                        <w:rPr>
                          <w:b/>
                          <w:szCs w:val="21"/>
                        </w:rPr>
                        <w:t>16</w:t>
                      </w:r>
                    </w:p>
                  </w:txbxContent>
                </v:textbox>
              </v:shape>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4191000</wp:posOffset>
                </wp:positionH>
                <wp:positionV relativeFrom="paragraph">
                  <wp:posOffset>5325745</wp:posOffset>
                </wp:positionV>
                <wp:extent cx="723900" cy="107950"/>
                <wp:effectExtent l="2540" t="0" r="16510" b="6350"/>
                <wp:wrapNone/>
                <wp:docPr id="48" name="组合 48"/>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49" name="直接连接符 6"/>
                        <wps:cNvCnPr>
                          <a:cxnSpLocks noChangeShapeType="1"/>
                        </wps:cNvCnPr>
                        <wps:spPr bwMode="auto">
                          <a:xfrm>
                            <a:off x="0" y="983"/>
                            <a:ext cx="3600" cy="0"/>
                          </a:xfrm>
                          <a:prstGeom prst="line">
                            <a:avLst/>
                          </a:prstGeom>
                          <a:noFill/>
                          <a:ln w="28575">
                            <a:solidFill>
                              <a:srgbClr val="000000"/>
                            </a:solidFill>
                            <a:round/>
                          </a:ln>
                        </wps:spPr>
                        <wps:bodyPr/>
                      </wps:wsp>
                      <wps:wsp>
                        <wps:cNvPr id="50" name="直接连接符 7"/>
                        <wps:cNvCnPr>
                          <a:cxnSpLocks noChangeShapeType="1"/>
                        </wps:cNvCnPr>
                        <wps:spPr bwMode="auto">
                          <a:xfrm flipV="1">
                            <a:off x="115" y="0"/>
                            <a:ext cx="0" cy="1079"/>
                          </a:xfrm>
                          <a:prstGeom prst="line">
                            <a:avLst/>
                          </a:prstGeom>
                          <a:noFill/>
                          <a:ln w="28575">
                            <a:solidFill>
                              <a:srgbClr val="000000"/>
                            </a:solidFill>
                            <a:round/>
                          </a:ln>
                        </wps:spPr>
                        <wps:bodyPr/>
                      </wps:wsp>
                      <wps:wsp>
                        <wps:cNvPr id="51" name="直接连接符 8"/>
                        <wps:cNvCnPr>
                          <a:cxnSpLocks noChangeShapeType="1"/>
                        </wps:cNvCnPr>
                        <wps:spPr bwMode="auto">
                          <a:xfrm flipV="1">
                            <a:off x="3530" y="57"/>
                            <a:ext cx="0" cy="1080"/>
                          </a:xfrm>
                          <a:prstGeom prst="line">
                            <a:avLst/>
                          </a:prstGeom>
                          <a:noFill/>
                          <a:ln w="28575">
                            <a:solidFill>
                              <a:srgbClr val="000000"/>
                            </a:solidFill>
                            <a:round/>
                          </a:ln>
                        </wps:spPr>
                        <wps:bodyPr/>
                      </wps:wsp>
                      <wps:wsp>
                        <wps:cNvPr id="52" name="直接连接符 9"/>
                        <wps:cNvCnPr>
                          <a:cxnSpLocks noChangeShapeType="1"/>
                        </wps:cNvCnPr>
                        <wps:spPr bwMode="auto">
                          <a:xfrm>
                            <a:off x="3646" y="983"/>
                            <a:ext cx="3594" cy="0"/>
                          </a:xfrm>
                          <a:prstGeom prst="line">
                            <a:avLst/>
                          </a:prstGeom>
                          <a:noFill/>
                          <a:ln w="28575">
                            <a:solidFill>
                              <a:srgbClr val="000000"/>
                            </a:solidFill>
                            <a:round/>
                          </a:ln>
                        </wps:spPr>
                        <wps:bodyPr/>
                      </wps:wsp>
                      <wps:wsp>
                        <wps:cNvPr id="53" name="直接连接符 10"/>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330pt;margin-top:419.35pt;height:8.5pt;width:57pt;z-index:251670528;mso-width-relative:page;mso-height-relative:page;" coordsize="7240,1137" o:gfxdata="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fFvFGNsAAAALAQAADwAAAAAAAAABACAAAAAiAAAA&#10;ZHJzL2Rvd25yZXYueG1sUEsBAhQAFAAAAAgAh07iQBOXqC7oAgAALwwAAA4AAAAAAAAAAQAgAAAA&#10;KgEAAGRycy9lMm9Eb2MueG1sUEsFBgAAAAAGAAYAWQEAAIQGAAAAAA==&#10;">
                <o:lock v:ext="edit" aspectratio="f"/>
                <v:line id="直接连接符 6" o:spid="_x0000_s1026" o:spt="20" style="position:absolute;left:0;top:983;height:0;width:3600;" filled="f" stroked="t" coordsize="21600,21600" o:gfxdata="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yG6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7" o:spid="_x0000_s1026" o:spt="20" style="position:absolute;left:115;top:0;flip:y;height:1079;width:0;" filled="f" stroked="t" coordsize="21600,21600" o:gfxdata="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X3++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8" o:spid="_x0000_s1026" o:spt="20" style="position:absolute;left:3530;top:57;flip:y;height:1080;width:0;" filled="f" stroked="t" coordsize="21600,21600" o:gfxdata="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3p0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9" o:spid="_x0000_s1026" o:spt="20" style="position:absolute;left:3646;top:983;height:0;width:3594;" filled="f" stroked="t" coordsize="21600,21600" o:gfxdata="UEsDBAoAAAAAAIdO4kAAAAAAAAAAAAAAAAAEAAAAZHJzL1BLAwQUAAAACACHTuJAHf/Mwr0AAADb&#10;AAAADwAAAGRycy9kb3ducmV2LnhtbEWPS4sCMRCE74L/IbSwF9GMg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8zC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10" o:spid="_x0000_s1026" o:spt="20" style="position:absolute;left:7176;top:0;flip:y;height:1079;width:0;" filled="f" stroked="t" coordsize="21600,21600" o:gfxdata="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FQZi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group>
            </w:pict>
          </mc:Fallback>
        </mc:AlternateContent>
      </w:r>
      <w:r>
        <w:object>
          <v:shape id="_x0000_i1028" o:spt="75" type="#_x0000_t75" style="height:449.85pt;width:415.6pt;" o:ole="t" filled="f" o:preferrelative="t" stroked="f" coordsize="21600,21600">
            <v:path/>
            <v:fill on="f" focussize="0,0"/>
            <v:stroke on="f" joinstyle="miter"/>
            <v:imagedata r:id="rId44" o:title=""/>
            <o:lock v:ext="edit" aspectratio="t"/>
            <w10:wrap type="none"/>
            <w10:anchorlock/>
          </v:shape>
          <o:OLEObject Type="Embed" ProgID="Visio.Drawing.11" ShapeID="_x0000_i1028" DrawAspect="Content" ObjectID="_1468075728" r:id="rId43">
            <o:LockedField>false</o:LockedField>
          </o:OLEObject>
        </w:object>
      </w:r>
    </w:p>
    <w:p>
      <w:pPr>
        <w:jc w:val="center"/>
        <w:rPr>
          <w:rFonts w:ascii="黑体" w:hAnsi="黑体" w:eastAsia="黑体"/>
          <w:sz w:val="24"/>
        </w:rPr>
        <w:sectPr>
          <w:pgSz w:w="11906" w:h="16838"/>
          <w:pgMar w:top="1440" w:right="1417" w:bottom="1440" w:left="1134" w:header="851" w:footer="992" w:gutter="0"/>
          <w:cols w:space="425" w:num="1"/>
          <w:docGrid w:type="lines" w:linePitch="312" w:charSpace="0"/>
        </w:sectPr>
      </w:pPr>
    </w:p>
    <w:p>
      <w:pPr>
        <w:jc w:val="center"/>
        <w:rPr>
          <w:rFonts w:ascii="黑体" w:hAnsi="黑体" w:eastAsia="黑体"/>
          <w:sz w:val="24"/>
        </w:rPr>
      </w:pPr>
    </w:p>
    <w:p>
      <w:pPr>
        <w:jc w:val="center"/>
      </w:pPr>
    </w:p>
    <w:p>
      <w:pPr>
        <w:jc w:val="center"/>
      </w:pPr>
    </w:p>
    <w:p>
      <w:pPr>
        <w:jc w:val="center"/>
      </w:pPr>
    </w:p>
    <w:p>
      <w:pPr>
        <w:jc w:val="center"/>
      </w:pPr>
    </w:p>
    <w:p>
      <w:pPr>
        <w:jc w:val="center"/>
      </w:pPr>
    </w:p>
    <w:p>
      <w:pPr>
        <w:jc w:val="center"/>
        <w:rPr>
          <w:rFonts w:ascii="黑体" w:hAnsi="黑体" w:eastAsia="黑体"/>
          <w:sz w:val="24"/>
        </w:rPr>
      </w:pPr>
      <w:r>
        <w:pict>
          <v:shape id="_x0000_s1026" o:spid="_x0000_s1026" o:spt="202" type="#_x0000_t202" style="position:absolute;left:0pt;margin-left:36.75pt;margin-top:447.9pt;height:25.5pt;width:396.85pt;z-index:251700224;mso-width-relative:margin;mso-height-relative:margin;" coordsize="21600,21600">
            <v:path/>
            <v:fill focussize="0,0"/>
            <v:stroke weight="2.25pt"/>
            <v:imagedata o:title=""/>
            <o:lock v:ext="edit"/>
            <v:textbox>
              <w:txbxContent>
                <w:p>
                  <w:pPr>
                    <w:jc w:val="center"/>
                    <w:rPr>
                      <w:rFonts w:eastAsia="黑体"/>
                      <w:sz w:val="24"/>
                    </w:rPr>
                  </w:pPr>
                  <w:r>
                    <w:rPr>
                      <w:rFonts w:hint="eastAsia" w:eastAsia="黑体"/>
                      <w:sz w:val="24"/>
                    </w:rPr>
                    <w:t xml:space="preserve">附图四 </w:t>
                  </w:r>
                  <w:r>
                    <w:rPr>
                      <w:rFonts w:eastAsia="黑体"/>
                      <w:sz w:val="24"/>
                    </w:rPr>
                    <w:t xml:space="preserve"> </w:t>
                  </w:r>
                  <w:r>
                    <w:rPr>
                      <w:rFonts w:hint="eastAsia" w:eastAsia="黑体"/>
                      <w:sz w:val="24"/>
                    </w:rPr>
                    <w:t>1#生产车间一层平面布局图</w:t>
                  </w:r>
                </w:p>
              </w:txbxContent>
            </v:textbox>
          </v:shape>
        </w:pict>
      </w:r>
      <w:r>
        <w:pict>
          <v:shape id="_x0000_s1027" o:spid="_x0000_s1027" o:spt="202" type="#_x0000_t202" style="position:absolute;left:0pt;margin-left:65.25pt;margin-top:400.45pt;height:22.15pt;width:19.85pt;z-index:251704320;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">
            <v:path/>
            <v:fill on="f" focussize="0,0"/>
            <v:stroke on="f" weight="0.5pt"/>
            <v:imagedata o:title=""/>
            <o:lock v:ext="edit"/>
            <v:textbox>
              <w:txbxContent>
                <w:p>
                  <w:pPr>
                    <w:rPr>
                      <w:b/>
                      <w:szCs w:val="21"/>
                    </w:rPr>
                  </w:pPr>
                  <w:r>
                    <w:rPr>
                      <w:b/>
                      <w:szCs w:val="21"/>
                    </w:rPr>
                    <w:t>5</w:t>
                  </w:r>
                </w:p>
              </w:txbxContent>
            </v:textbox>
          </v:shape>
        </w:pict>
      </w:r>
      <w:r>
        <w:pict>
          <v:shape id="_x0000_s1028" o:spid="_x0000_s1028" o:spt="202" type="#_x0000_t202" style="position:absolute;left:0pt;margin-left:85.85pt;margin-top:400.05pt;height:22.15pt;width:34.5pt;z-index:251703296;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">
            <v:path/>
            <v:fill on="f" focussize="0,0"/>
            <v:stroke on="f" weight="0.5pt"/>
            <v:imagedata o:title=""/>
            <o:lock v:ext="edit"/>
            <v:textbox>
              <w:txbxContent>
                <w:p>
                  <w:pPr>
                    <w:rPr>
                      <w:b/>
                      <w:szCs w:val="21"/>
                    </w:rPr>
                  </w:pPr>
                  <w:r>
                    <w:rPr>
                      <w:b/>
                      <w:szCs w:val="21"/>
                    </w:rPr>
                    <w:t>10m</w:t>
                  </w:r>
                </w:p>
              </w:txbxContent>
            </v:textbox>
          </v:shape>
        </w:pict>
      </w:r>
      <w:r>
        <w:pict>
          <v:shape id="_x0000_s1029" o:spid="_x0000_s1029" o:spt="202" type="#_x0000_t202" style="position:absolute;left:0pt;margin-left:39pt;margin-top:400.2pt;height:22.15pt;width:25.45pt;z-index:251705344;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">
            <v:path/>
            <v:fill on="f" focussize="0,0"/>
            <v:stroke on="f" weight="0.5pt"/>
            <v:imagedata o:title=""/>
            <o:lock v:ext="edit"/>
            <v:textbox>
              <w:txbxContent>
                <w:p>
                  <w:pPr>
                    <w:rPr>
                      <w:b/>
                      <w:szCs w:val="21"/>
                    </w:rPr>
                  </w:pPr>
                  <w:r>
                    <w:rPr>
                      <w:b/>
                      <w:szCs w:val="21"/>
                    </w:rPr>
                    <w:t>0</w:t>
                  </w:r>
                </w:p>
              </w:txbxContent>
            </v:textbox>
          </v:shape>
        </w:pict>
      </w:r>
      <w:r>
        <w:pict>
          <v:group id="组合 5" o:spid="_x0000_s1030" o:spt="203" style="position:absolute;left:0pt;margin-left:47.4pt;margin-top:417.85pt;height:8.5pt;width:57pt;z-index:251701248;mso-width-relative:page;mso-height-relative:page;" coordsize="7240,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">
            <o:lock v:ext="edit"/>
            <v:line id="直接连接符 6" o:spid="_x0000_s1031" o:spt="20" style="position:absolute;left:0;top:983;height:0;width:360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">
              <v:path arrowok="t"/>
              <v:fill focussize="0,0"/>
              <v:stroke weight="2.25pt"/>
              <v:imagedata o:title=""/>
              <o:lock v:ext="edit"/>
            </v:line>
            <v:line id="直接连接符 7" o:spid="_x0000_s1032" o:spt="20" style="position:absolute;left:115;top:0;flip:y;height:1079;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">
              <v:path arrowok="t"/>
              <v:fill focussize="0,0"/>
              <v:stroke weight="2.25pt"/>
              <v:imagedata o:title=""/>
              <o:lock v:ext="edit"/>
            </v:line>
            <v:line id="直接连接符 8" o:spid="_x0000_s1033" o:spt="20" style="position:absolute;left:3530;top:57;flip:y;height:10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">
              <v:path arrowok="t"/>
              <v:fill focussize="0,0"/>
              <v:stroke weight="2.25pt"/>
              <v:imagedata o:title=""/>
              <o:lock v:ext="edit"/>
            </v:line>
            <v:line id="直接连接符 9" o:spid="_x0000_s1034" o:spt="20" style="position:absolute;left:3646;top:983;height:0;width:359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">
              <v:path arrowok="t"/>
              <v:fill focussize="0,0"/>
              <v:stroke weight="2.25pt"/>
              <v:imagedata o:title=""/>
              <o:lock v:ext="edit"/>
            </v:line>
            <v:line id="直接连接符 10" o:spid="_x0000_s1035" o:spt="20" style="position:absolute;left:7176;top:0;flip:y;height:1079;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v:path arrowok="t"/>
              <v:fill focussize="0,0"/>
              <v:stroke weight="2.25pt"/>
              <v:imagedata o:title=""/>
              <o:lock v:ext="edit"/>
            </v:line>
          </v:group>
        </w:pict>
      </w:r>
      <w:r>
        <w:pict>
          <v:shape id="文本框 21" o:spid="_x0000_s1036" o:spt="202" alt="文本框: 比例：1:10000" type="#_x0000_t202" style="position:absolute;left:0pt;margin-left:42pt;margin-top:423.35pt;height:22.15pt;width:77.25pt;z-index:251702272;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">
            <v:path/>
            <v:fill opacity="0f" focussize="0,0"/>
            <v:stroke on="f" weight="0.5pt"/>
            <v:imagedata o:title=""/>
            <o:lock v:ext="edit"/>
            <v:textbox>
              <w:txbxContent>
                <w:p>
                  <w:pPr>
                    <w:rPr>
                      <w:b/>
                      <w:szCs w:val="21"/>
                    </w:rPr>
                  </w:pPr>
                  <w:r>
                    <w:rPr>
                      <w:rFonts w:hint="eastAsia"/>
                      <w:b/>
                      <w:szCs w:val="21"/>
                    </w:rPr>
                    <w:t>比例：</w:t>
                  </w:r>
                  <w:r>
                    <w:rPr>
                      <w:b/>
                      <w:szCs w:val="21"/>
                    </w:rPr>
                    <w:t>1:500</w:t>
                  </w:r>
                </w:p>
              </w:txbxContent>
            </v:textbox>
          </v:shape>
        </w:pict>
      </w:r>
      <w:r>
        <w:object>
          <v:shape id="_x0000_i1029" o:spt="75" type="#_x0000_t75" style="height:449.2pt;width:403.45pt;" o:ole="t" filled="f" o:preferrelative="t" stroked="f" coordsize="21600,21600">
            <v:path/>
            <v:fill on="f" focussize="0,0"/>
            <v:stroke on="f" joinstyle="miter"/>
            <v:imagedata r:id="rId46" o:title=""/>
            <o:lock v:ext="edit" aspectratio="t"/>
            <w10:wrap type="none"/>
            <w10:anchorlock/>
          </v:shape>
          <o:OLEObject Type="Embed" ProgID="Visio.Drawing.11" ShapeID="_x0000_i1029" DrawAspect="Content" ObjectID="_1468075729" r:id="rId45">
            <o:LockedField>false</o:LockedField>
          </o:OLEObject>
        </w:object>
      </w:r>
    </w:p>
    <w:p>
      <w:pPr>
        <w:jc w:val="center"/>
        <w:sectPr>
          <w:pgSz w:w="11906" w:h="16838"/>
          <w:pgMar w:top="1440" w:right="1417" w:bottom="1440" w:left="1134" w:header="851" w:footer="992" w:gutter="0"/>
          <w:cols w:space="425" w:num="1"/>
          <w:docGrid w:type="lines" w:linePitch="312" w:charSpace="0"/>
        </w:sectPr>
      </w:pPr>
    </w:p>
    <w:p>
      <w:pPr>
        <w:jc w:val="center"/>
      </w:pPr>
      <w:r>
        <mc:AlternateContent>
          <mc:Choice Requires="wps">
            <w:drawing>
              <wp:anchor distT="45720" distB="45720" distL="114300" distR="114300" simplePos="0" relativeHeight="251671552" behindDoc="0" locked="0" layoutInCell="1" allowOverlap="1">
                <wp:simplePos x="0" y="0"/>
                <wp:positionH relativeFrom="column">
                  <wp:posOffset>19050</wp:posOffset>
                </wp:positionH>
                <wp:positionV relativeFrom="paragraph">
                  <wp:posOffset>5385435</wp:posOffset>
                </wp:positionV>
                <wp:extent cx="8898890" cy="323850"/>
                <wp:effectExtent l="19050" t="19050" r="16510" b="19050"/>
                <wp:wrapNone/>
                <wp:docPr id="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98890" cy="323850"/>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附图五 </w:t>
                            </w:r>
                            <w:r>
                              <w:rPr>
                                <w:rFonts w:eastAsia="黑体"/>
                                <w:sz w:val="24"/>
                              </w:rPr>
                              <w:t xml:space="preserve"> </w:t>
                            </w:r>
                            <w:r>
                              <w:rPr>
                                <w:rFonts w:hint="eastAsia" w:eastAsia="黑体"/>
                                <w:sz w:val="24"/>
                              </w:rPr>
                              <w:t>本项目周围生态环境保护目标分布及位置关系图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pt;margin-top:424.05pt;height:25.5pt;width:700.7pt;z-index:251671552;mso-width-relative:page;mso-height-relative:page;" fillcolor="#FFFFFF" filled="t" stroked="t" coordsize="21600,21600" o:gfxdata="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6wX742QAAAAoBAAAPAAAAAAAAAAEAIAAAACIAAABkcnMv&#10;ZG93bnJldi54bWxQSwECFAAUAAAACACHTuJAkzEhITsCAAB9BAAADgAAAAAAAAABACAAAAAoAQAA&#10;ZHJzL2Uyb0RvYy54bWxQSwUGAAAAAAYABgBZAQAA1QUAAAAA&#10;">
                <v:fill on="t" focussize="0,0"/>
                <v:stroke weight="2.25pt" color="#000000" miterlimit="8" joinstyle="miter"/>
                <v:imagedata o:title=""/>
                <o:lock v:ext="edit" aspectratio="f"/>
                <v:textbox>
                  <w:txbxContent>
                    <w:p>
                      <w:pPr>
                        <w:jc w:val="center"/>
                        <w:rPr>
                          <w:rFonts w:eastAsia="黑体"/>
                          <w:sz w:val="24"/>
                        </w:rPr>
                      </w:pPr>
                      <w:r>
                        <w:rPr>
                          <w:rFonts w:hint="eastAsia" w:eastAsia="黑体"/>
                          <w:sz w:val="24"/>
                        </w:rPr>
                        <w:t xml:space="preserve">附图五 </w:t>
                      </w:r>
                      <w:r>
                        <w:rPr>
                          <w:rFonts w:eastAsia="黑体"/>
                          <w:sz w:val="24"/>
                        </w:rPr>
                        <w:t xml:space="preserve"> </w:t>
                      </w:r>
                      <w:r>
                        <w:rPr>
                          <w:rFonts w:hint="eastAsia" w:eastAsia="黑体"/>
                          <w:sz w:val="24"/>
                        </w:rPr>
                        <w:t>本项目周围生态环境保护目标分布及位置关系图</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4933950</wp:posOffset>
                </wp:positionH>
                <wp:positionV relativeFrom="paragraph">
                  <wp:posOffset>1433195</wp:posOffset>
                </wp:positionV>
                <wp:extent cx="2697480" cy="495300"/>
                <wp:effectExtent l="224790" t="9525" r="11430" b="314325"/>
                <wp:wrapNone/>
                <wp:docPr id="55" name="对话气泡: 圆角矩形 2"/>
                <wp:cNvGraphicFramePr/>
                <a:graphic xmlns:a="http://schemas.openxmlformats.org/drawingml/2006/main">
                  <a:graphicData uri="http://schemas.microsoft.com/office/word/2010/wordprocessingShape">
                    <wps:wsp>
                      <wps:cNvSpPr/>
                      <wps:spPr>
                        <a:xfrm>
                          <a:off x="0" y="0"/>
                          <a:ext cx="2697548" cy="495300"/>
                        </a:xfrm>
                        <a:prstGeom prst="wedgeRoundRectCallout">
                          <a:avLst>
                            <a:gd name="adj1" fmla="val -55640"/>
                            <a:gd name="adj2" fmla="val 105150"/>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河南意诺康医疗器械有限公司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 o:spid="_x0000_s1026" o:spt="62" type="#_x0000_t62" style="position:absolute;left:0pt;margin-left:388.5pt;margin-top:112.85pt;height:39pt;width:212.4pt;z-index:251673600;v-text-anchor:middle;mso-width-relative:page;mso-height-relative:page;" filled="f" stroked="t" coordsize="21600,21600" o:gfxdata="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1OzbNsAAAAMAQAADwAAAAAAAAABACAAAAAiAAAAZHJzL2Rvd25yZXYueG1sUEsBAhQAFAAA&#10;AAgAh07iQNN0LTfQAgAAcwUAAA4AAAAAAAAAAQAgAAAAKgEAAGRycy9lMm9Eb2MueG1sUEsFBgAA&#10;AAAGAAYAWQEAAGwGAAAAAA==&#10;" adj="-1218,33512,14400">
                <v:fill on="f" focussize="0,0"/>
                <v:stroke weight="1.5pt" color="#FF0000 [3204]" miterlimit="8" joinstyle="miter"/>
                <v:imagedata o:title=""/>
                <o:lock v:ext="edit" aspectratio="f"/>
                <v:textbox>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河南意诺康医疗器械有限公司</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6248400</wp:posOffset>
                </wp:positionH>
                <wp:positionV relativeFrom="paragraph">
                  <wp:posOffset>3728720</wp:posOffset>
                </wp:positionV>
                <wp:extent cx="1724025" cy="495300"/>
                <wp:effectExtent l="111125" t="9525" r="12700" b="676275"/>
                <wp:wrapNone/>
                <wp:docPr id="56" name="对话气泡: 圆角矩形 3"/>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54534"/>
                            <a:gd name="adj2" fmla="val 178227"/>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夹河村</w:t>
                            </w:r>
                            <w:r>
                              <w:rPr>
                                <w:color w:val="FFFF00"/>
                                <w:sz w:val="28"/>
                                <w:szCs w:val="28"/>
                                <w14:textOutline w14:w="9525" w14:cap="rnd" w14:cmpd="sng" w14:algn="ctr">
                                  <w14:solidFill>
                                    <w14:srgbClr w14:val="FFFF00"/>
                                  </w14:solidFill>
                                  <w14:prstDash w14:val="solid"/>
                                  <w14:bevel/>
                                </w14:textOutline>
                              </w:rPr>
                              <w:t>930m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 o:spid="_x0000_s1026" o:spt="62" type="#_x0000_t62" style="position:absolute;left:0pt;margin-left:492pt;margin-top:293.6pt;height:39pt;width:135.75pt;z-index:251678720;v-text-anchor:middle;mso-width-relative:page;mso-height-relative:page;" filled="f" stroked="t" coordsize="21600,21600" o:gfxdata="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c9kD9kAAAAMAQAADwAAAAAAAAABACAAAAAiAAAAZHJzL2Rvd25yZXYueG1sUEsBAhQAFAAAAAgA&#10;h07iQP2ky4PPAgAAcwUAAA4AAAAAAAAAAQAgAAAAKAEAAGRycy9lMm9Eb2MueG1sUEsFBgAAAAAG&#10;AAYAWQEAAGkGAAAAAA==&#10;" adj="-979,49297,14400">
                <v:fill on="f" focussize="0,0"/>
                <v:stroke weight="1.5pt" color="#FFFF00 [3204]" miterlimit="8" joinstyle="miter"/>
                <v:imagedata o:title=""/>
                <o:lock v:ext="edit" aspectratio="f"/>
                <v:textbox>
                  <w:txbxContent>
                    <w:p>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夹河村</w:t>
                      </w:r>
                      <w:r>
                        <w:rPr>
                          <w:color w:val="FFFF00"/>
                          <w:sz w:val="28"/>
                          <w:szCs w:val="28"/>
                          <w14:textOutline w14:w="9525" w14:cap="rnd" w14:cmpd="sng" w14:algn="ctr">
                            <w14:solidFill>
                              <w14:srgbClr w14:val="FFFF00"/>
                            </w14:solidFill>
                            <w14:prstDash w14:val="solid"/>
                            <w14:bevel/>
                          </w14:textOutline>
                        </w:rPr>
                        <w:t>930m</w:t>
                      </w:r>
                    </w:p>
                  </w:txbxContent>
                </v:textbox>
              </v:shape>
            </w:pict>
          </mc:Fallback>
        </mc:AlternateContent>
      </w:r>
      <w:r>
        <w:drawing>
          <wp:anchor distT="0" distB="0" distL="114300" distR="114300" simplePos="0" relativeHeight="251682816" behindDoc="0" locked="0" layoutInCell="1" allowOverlap="1">
            <wp:simplePos x="0" y="0"/>
            <wp:positionH relativeFrom="column">
              <wp:posOffset>8248650</wp:posOffset>
            </wp:positionH>
            <wp:positionV relativeFrom="paragraph">
              <wp:posOffset>168910</wp:posOffset>
            </wp:positionV>
            <wp:extent cx="523875" cy="762000"/>
            <wp:effectExtent l="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523948" cy="762106"/>
                    </a:xfrm>
                    <a:prstGeom prst="rect">
                      <a:avLst/>
                    </a:prstGeom>
                  </pic:spPr>
                </pic:pic>
              </a:graphicData>
            </a:graphic>
          </wp:anchor>
        </w:drawing>
      </w:r>
      <w:r>
        <w:rPr>
          <w:rFonts w:hint="eastAsia"/>
        </w:rPr>
        <mc:AlternateContent>
          <mc:Choice Requires="wps">
            <w:drawing>
              <wp:anchor distT="0" distB="0" distL="114300" distR="114300" simplePos="0" relativeHeight="251687936" behindDoc="0" locked="0" layoutInCell="1" allowOverlap="1">
                <wp:simplePos x="0" y="0"/>
                <wp:positionH relativeFrom="column">
                  <wp:posOffset>8096250</wp:posOffset>
                </wp:positionH>
                <wp:positionV relativeFrom="paragraph">
                  <wp:posOffset>4671695</wp:posOffset>
                </wp:positionV>
                <wp:extent cx="575310" cy="28130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5753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7.5pt;margin-top:367.85pt;height:22.15pt;width:45.3pt;z-index:251687936;mso-width-relative:page;mso-height-relative:page;" filled="f" stroked="f" coordsize="21600,21600" o:gfxdata="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zNfG9wAAAANAQAADwAAAAAAAAABACAA&#10;AAAiAAAAZHJzL2Rvd25yZXYueG1sUEsBAhQAFAAAAAgAh07iQFxxcx9CAgAAdQQAAA4AAAAAAAAA&#10;AQAgAAAAKwEAAGRycy9lMm9Eb2MueG1sUEsFBgAAAAAGAAYAWQEAAN8FAAAAAA==&#10;">
                <v:fill on="f" focussize="0,0"/>
                <v:stroke on="f" weight="0.5pt"/>
                <v:imagedata o:title=""/>
                <o:lock v:ext="edit" aspectratio="f"/>
                <v:textbox>
                  <w:txbxContent>
                    <w:p>
                      <w:pPr>
                        <w:rPr>
                          <w:b/>
                          <w:sz w:val="22"/>
                        </w:rPr>
                      </w:pPr>
                      <w:r>
                        <w:rPr>
                          <w:b/>
                          <w:sz w:val="22"/>
                        </w:rPr>
                        <w:t>200m</w:t>
                      </w:r>
                    </w:p>
                  </w:txbxContent>
                </v:textbox>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7772400</wp:posOffset>
                </wp:positionH>
                <wp:positionV relativeFrom="paragraph">
                  <wp:posOffset>4681220</wp:posOffset>
                </wp:positionV>
                <wp:extent cx="481330" cy="28130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48133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2pt;margin-top:368.6pt;height:22.15pt;width:37.9pt;z-index:251686912;mso-width-relative:page;mso-height-relative:page;" filled="f" stroked="f" coordsize="21600,21600" o:gfxdata="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fmQm90AAAANAQAADwAAAAAAAAABACAA&#10;AAAiAAAAZHJzL2Rvd25yZXYueG1sUEsBAhQAFAAAAAgAh07iQOVzZ+hBAgAAdQQAAA4AAAAAAAAA&#10;AQAgAAAALAEAAGRycy9lMm9Eb2MueG1sUEsFBgAAAAAGAAYAWQEAAN8FAAAAAA==&#10;">
                <v:fill on="f" focussize="0,0"/>
                <v:stroke on="f" weight="0.5pt"/>
                <v:imagedata o:title=""/>
                <o:lock v:ext="edit" aspectratio="f"/>
                <v:textbox>
                  <w:txbxContent>
                    <w:p>
                      <w:pPr>
                        <w:rPr>
                          <w:b/>
                          <w:sz w:val="22"/>
                        </w:rPr>
                      </w:pPr>
                      <w:r>
                        <w:rPr>
                          <w:b/>
                          <w:sz w:val="22"/>
                        </w:rPr>
                        <w:t>100</w:t>
                      </w:r>
                    </w:p>
                  </w:txbxContent>
                </v:textbox>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7496175</wp:posOffset>
                </wp:positionH>
                <wp:positionV relativeFrom="paragraph">
                  <wp:posOffset>4667250</wp:posOffset>
                </wp:positionV>
                <wp:extent cx="213995" cy="28130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139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0.25pt;margin-top:367.5pt;height:22.15pt;width:16.85pt;z-index:251685888;mso-width-relative:page;mso-height-relative:page;" filled="f" stroked="f" coordsize="21600,21600" o:gfxdata="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udj03AAAAA0BAAAPAAAAAAAAAAEAIAAA&#10;ACIAAABkcnMvZG93bnJldi54bWxQSwECFAAUAAAACACHTuJABuwklkECAAB1BAAADgAAAAAAAAAB&#10;ACAAAAArAQAAZHJzL2Uyb0RvYy54bWxQSwUGAAAAAAYABgBZAQAA3gUAAAAA&#10;">
                <v:fill on="f" focussize="0,0"/>
                <v:stroke on="f" weight="0.5pt"/>
                <v:imagedata o:title=""/>
                <o:lock v:ext="edit" aspectratio="f"/>
                <v:textbox>
                  <w:txbxContent>
                    <w:p>
                      <w:pPr>
                        <w:rPr>
                          <w:b/>
                          <w:sz w:val="22"/>
                        </w:rPr>
                      </w:pPr>
                      <w:r>
                        <w:rPr>
                          <w:b/>
                          <w:sz w:val="22"/>
                        </w:rPr>
                        <w:t>0</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7463790</wp:posOffset>
                </wp:positionH>
                <wp:positionV relativeFrom="paragraph">
                  <wp:posOffset>4996815</wp:posOffset>
                </wp:positionV>
                <wp:extent cx="1203960" cy="281305"/>
                <wp:effectExtent l="0" t="0" r="0" b="0"/>
                <wp:wrapNone/>
                <wp:docPr id="61" name="文本框 61"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1203960" cy="281305"/>
                        </a:xfrm>
                        <a:prstGeom prst="rect">
                          <a:avLst/>
                        </a:prstGeom>
                        <a:solidFill>
                          <a:schemeClr val="bg1">
                            <a:lumMod val="100000"/>
                            <a:lumOff val="0"/>
                            <a:alpha val="0"/>
                          </a:schemeClr>
                        </a:solidFill>
                        <a:ln>
                          <a:noFill/>
                        </a:ln>
                      </wps:spPr>
                      <wps:txbx>
                        <w:txbxContent>
                          <w:p>
                            <w:pPr>
                              <w:rPr>
                                <w:b/>
                                <w:sz w:val="22"/>
                              </w:rPr>
                            </w:pPr>
                            <w:r>
                              <w:rPr>
                                <w:rFonts w:hint="eastAsia"/>
                                <w:b/>
                                <w:sz w:val="22"/>
                              </w:rPr>
                              <w:t>比例：</w:t>
                            </w:r>
                            <w:r>
                              <w:rPr>
                                <w:b/>
                                <w:sz w:val="22"/>
                              </w:rPr>
                              <w:t>1:10000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587.7pt;margin-top:393.45pt;height:22.15pt;width:94.8pt;z-index:251688960;mso-width-relative:page;mso-height-relative:page;" fillcolor="#FFFFFF [3228]" filled="t" stroked="f" coordsize="21600,21600" o:gfxdata="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P10S9sAAAANAQAADwAAAAAAAAABACAAAAAiAAAAZHJzL2Rvd25yZXYueG1s&#10;UEsBAhQAFAAAAAgAh07iQOIkYkVnAgAArAQAAA4AAAAAAAAAAQAgAAAAKgEAAGRycy9lMm9Eb2Mu&#10;eG1sUEsFBgAAAAAGAAYAWQEAAAMGAAAAAA==&#10;">
                <v:fill on="t" opacity="0f" focussize="0,0"/>
                <v:stroke on="f"/>
                <v:imagedata o:title=""/>
                <o:lock v:ext="edit" aspectratio="f"/>
                <v:textbox>
                  <w:txbxContent>
                    <w:p>
                      <w:pPr>
                        <w:rPr>
                          <w:b/>
                          <w:sz w:val="22"/>
                        </w:rPr>
                      </w:pPr>
                      <w:r>
                        <w:rPr>
                          <w:rFonts w:hint="eastAsia"/>
                          <w:b/>
                          <w:sz w:val="22"/>
                        </w:rPr>
                        <w:t>比例：</w:t>
                      </w:r>
                      <w:r>
                        <w:rPr>
                          <w:b/>
                          <w:sz w:val="22"/>
                        </w:rPr>
                        <w:t>1:10000</w:t>
                      </w:r>
                    </w:p>
                  </w:txbxContent>
                </v:textbox>
              </v:shape>
            </w:pict>
          </mc:Fallback>
        </mc:AlternateContent>
      </w:r>
      <w:r>
        <mc:AlternateContent>
          <mc:Choice Requires="wpg">
            <w:drawing>
              <wp:anchor distT="0" distB="0" distL="114300" distR="114300" simplePos="0" relativeHeight="251682816" behindDoc="0" locked="0" layoutInCell="1" allowOverlap="1">
                <wp:simplePos x="0" y="0"/>
                <wp:positionH relativeFrom="column">
                  <wp:posOffset>7620000</wp:posOffset>
                </wp:positionH>
                <wp:positionV relativeFrom="paragraph">
                  <wp:posOffset>4910455</wp:posOffset>
                </wp:positionV>
                <wp:extent cx="723900" cy="107950"/>
                <wp:effectExtent l="2540" t="0" r="16510" b="6350"/>
                <wp:wrapNone/>
                <wp:docPr id="62" name="组合 62"/>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63" name="直接连接符 6"/>
                        <wps:cNvCnPr>
                          <a:cxnSpLocks noChangeShapeType="1"/>
                        </wps:cNvCnPr>
                        <wps:spPr bwMode="auto">
                          <a:xfrm>
                            <a:off x="0" y="983"/>
                            <a:ext cx="3600" cy="0"/>
                          </a:xfrm>
                          <a:prstGeom prst="line">
                            <a:avLst/>
                          </a:prstGeom>
                          <a:noFill/>
                          <a:ln w="28575">
                            <a:solidFill>
                              <a:srgbClr val="000000"/>
                            </a:solidFill>
                            <a:round/>
                          </a:ln>
                        </wps:spPr>
                        <wps:bodyPr/>
                      </wps:wsp>
                      <wps:wsp>
                        <wps:cNvPr id="64" name="直接连接符 7"/>
                        <wps:cNvCnPr>
                          <a:cxnSpLocks noChangeShapeType="1"/>
                        </wps:cNvCnPr>
                        <wps:spPr bwMode="auto">
                          <a:xfrm flipV="1">
                            <a:off x="115" y="0"/>
                            <a:ext cx="0" cy="1079"/>
                          </a:xfrm>
                          <a:prstGeom prst="line">
                            <a:avLst/>
                          </a:prstGeom>
                          <a:noFill/>
                          <a:ln w="28575">
                            <a:solidFill>
                              <a:srgbClr val="000000"/>
                            </a:solidFill>
                            <a:round/>
                          </a:ln>
                        </wps:spPr>
                        <wps:bodyPr/>
                      </wps:wsp>
                      <wps:wsp>
                        <wps:cNvPr id="65" name="直接连接符 8"/>
                        <wps:cNvCnPr>
                          <a:cxnSpLocks noChangeShapeType="1"/>
                        </wps:cNvCnPr>
                        <wps:spPr bwMode="auto">
                          <a:xfrm flipV="1">
                            <a:off x="3530" y="57"/>
                            <a:ext cx="0" cy="1080"/>
                          </a:xfrm>
                          <a:prstGeom prst="line">
                            <a:avLst/>
                          </a:prstGeom>
                          <a:noFill/>
                          <a:ln w="28575">
                            <a:solidFill>
                              <a:srgbClr val="000000"/>
                            </a:solidFill>
                            <a:round/>
                          </a:ln>
                        </wps:spPr>
                        <wps:bodyPr/>
                      </wps:wsp>
                      <wps:wsp>
                        <wps:cNvPr id="66" name="直接连接符 9"/>
                        <wps:cNvCnPr>
                          <a:cxnSpLocks noChangeShapeType="1"/>
                        </wps:cNvCnPr>
                        <wps:spPr bwMode="auto">
                          <a:xfrm>
                            <a:off x="3646" y="983"/>
                            <a:ext cx="3594" cy="0"/>
                          </a:xfrm>
                          <a:prstGeom prst="line">
                            <a:avLst/>
                          </a:prstGeom>
                          <a:noFill/>
                          <a:ln w="28575">
                            <a:solidFill>
                              <a:srgbClr val="000000"/>
                            </a:solidFill>
                            <a:round/>
                          </a:ln>
                        </wps:spPr>
                        <wps:bodyPr/>
                      </wps:wsp>
                      <wps:wsp>
                        <wps:cNvPr id="67" name="直接连接符 10"/>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600pt;margin-top:386.65pt;height:8.5pt;width:57pt;z-index:251682816;mso-width-relative:page;mso-height-relative:page;" coordsize="7240,1137" o:gfxdata="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VKrzWtoAAAANAQAADwAAAAAAAAABACAAAAAiAAAAZHJz&#10;L2Rvd25yZXYueG1sUEsBAhQAFAAAAAgAh07iQKXIdMDmAgAALwwAAA4AAAAAAAAAAQAgAAAAKQEA&#10;AGRycy9lMm9Eb2MueG1sUEsFBgAAAAAGAAYAWQEAAIEGAAAAAA==&#10;">
                <o:lock v:ext="edit" aspectratio="f"/>
                <v:line id="直接连接符 6" o:spid="_x0000_s1026" o:spt="20" style="position:absolute;left:0;top:983;height:0;width:3600;" filled="f" stroked="t" coordsize="21600,21600" o:gfxdata="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6P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7" o:spid="_x0000_s1026" o:spt="20" style="position:absolute;left:115;top:0;flip:y;height:1079;width:0;" filled="f" stroked="t" coordsize="21600,21600" o:gfxdata="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BNR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8" o:spid="_x0000_s1026" o:spt="20" style="position:absolute;left:3530;top:57;flip:y;height:1080;width:0;" filled="f" stroked="t" coordsize="21600,21600" o:gfxdata="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Lb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9" o:spid="_x0000_s1026" o:spt="20" style="position:absolute;left:3646;top:983;height:0;width:3594;" filled="f" stroked="t" coordsize="21600,21600" o:gfxdata="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gAfL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直接连接符 10" o:spid="_x0000_s1026" o:spt="20" style="position:absolute;left:7176;top:0;flip:y;height:1079;width:0;" filled="f" stroked="t" coordsize="21600,21600" o:gfxdata="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0m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drawing>
          <wp:inline distT="0" distB="0" distL="0" distR="0">
            <wp:extent cx="8863330" cy="5351145"/>
            <wp:effectExtent l="38100" t="38100" r="33020" b="400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7" cstate="email"/>
                    <a:stretch>
                      <a:fillRect/>
                    </a:stretch>
                  </pic:blipFill>
                  <pic:spPr>
                    <a:xfrm>
                      <a:off x="0" y="0"/>
                      <a:ext cx="8863330" cy="5351145"/>
                    </a:xfrm>
                    <a:prstGeom prst="rect">
                      <a:avLst/>
                    </a:prstGeom>
                    <a:ln w="28575">
                      <a:solidFill>
                        <a:schemeClr val="tx1"/>
                      </a:solidFill>
                    </a:ln>
                  </pic:spPr>
                </pic:pic>
              </a:graphicData>
            </a:graphic>
          </wp:inline>
        </w:drawing>
      </w:r>
    </w:p>
    <w:p>
      <w:pPr>
        <w:jc w:val="center"/>
      </w:pPr>
      <w:r>
        <mc:AlternateContent>
          <mc:Choice Requires="wps">
            <w:drawing>
              <wp:anchor distT="45720" distB="45720" distL="114300" distR="114300" simplePos="0" relativeHeight="251659264" behindDoc="0" locked="0" layoutInCell="1" allowOverlap="1">
                <wp:simplePos x="0" y="0"/>
                <wp:positionH relativeFrom="column">
                  <wp:posOffset>19050</wp:posOffset>
                </wp:positionH>
                <wp:positionV relativeFrom="paragraph">
                  <wp:posOffset>5052695</wp:posOffset>
                </wp:positionV>
                <wp:extent cx="8891905" cy="323850"/>
                <wp:effectExtent l="19050" t="19050" r="23495" b="19050"/>
                <wp:wrapNone/>
                <wp:docPr id="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91905" cy="323850"/>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附图六 </w:t>
                            </w:r>
                            <w:r>
                              <w:rPr>
                                <w:rFonts w:eastAsia="黑体"/>
                                <w:sz w:val="24"/>
                              </w:rPr>
                              <w:t xml:space="preserve"> </w:t>
                            </w:r>
                            <w:r>
                              <w:rPr>
                                <w:rFonts w:hint="eastAsia" w:eastAsia="黑体"/>
                                <w:sz w:val="24"/>
                              </w:rPr>
                              <w:t>本项目四周环境概况图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pt;margin-top:397.85pt;height:25.5pt;width:700.15pt;z-index:251659264;mso-width-relative:page;mso-height-relative:page;" fillcolor="#FFFFFF" filled="t" stroked="t" coordsize="21600,21600" o:gfxdata="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OPb7faAAAACgEAAA8AAAAAAAAAAQAgAAAAIgAAAGRy&#10;cy9kb3ducmV2LnhtbFBLAQIUABQAAAAIAIdO4kAf7TbbPAIAAH0EAAAOAAAAAAAAAAEAIAAAACkB&#10;AABkcnMvZTJvRG9jLnhtbFBLBQYAAAAABgAGAFkBAADXBQAAAAA=&#10;">
                <v:fill on="t" focussize="0,0"/>
                <v:stroke weight="2.25pt" color="#000000" miterlimit="8" joinstyle="miter"/>
                <v:imagedata o:title=""/>
                <o:lock v:ext="edit" aspectratio="f"/>
                <v:textbox>
                  <w:txbxContent>
                    <w:p>
                      <w:pPr>
                        <w:jc w:val="center"/>
                        <w:rPr>
                          <w:rFonts w:eastAsia="黑体"/>
                          <w:sz w:val="24"/>
                        </w:rPr>
                      </w:pPr>
                      <w:r>
                        <w:rPr>
                          <w:rFonts w:hint="eastAsia" w:eastAsia="黑体"/>
                          <w:sz w:val="24"/>
                        </w:rPr>
                        <w:t xml:space="preserve">附图六 </w:t>
                      </w:r>
                      <w:r>
                        <w:rPr>
                          <w:rFonts w:eastAsia="黑体"/>
                          <w:sz w:val="24"/>
                        </w:rPr>
                        <w:t xml:space="preserve"> </w:t>
                      </w:r>
                      <w:r>
                        <w:rPr>
                          <w:rFonts w:hint="eastAsia" w:eastAsia="黑体"/>
                          <w:sz w:val="24"/>
                        </w:rPr>
                        <w:t>本项目四周环境概况图</w:t>
                      </w:r>
                    </w:p>
                  </w:txbxContent>
                </v:textbox>
              </v:shape>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8290560</wp:posOffset>
                </wp:positionH>
                <wp:positionV relativeFrom="paragraph">
                  <wp:posOffset>4318000</wp:posOffset>
                </wp:positionV>
                <wp:extent cx="543560" cy="28130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435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50</w:t>
                            </w:r>
                            <w:r>
                              <w:rPr>
                                <w:rFonts w:hint="eastAsia"/>
                                <w:b/>
                                <w:sz w:val="22"/>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2.8pt;margin-top:340pt;height:22.15pt;width:42.8pt;z-index:251696128;mso-width-relative:page;mso-height-relative:page;" filled="f" stroked="f" coordsize="21600,21600" o:gfxdata="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tX9jdAAAADQEAAA8AAAAAAAAAAQAg&#10;AAAAIgAAAGRycy9kb3ducmV2LnhtbFBLAQIUABQAAAAIAIdO4kCPhuJGQgIAAHUEAAAOAAAAAAAA&#10;AAEAIAAAACwBAABkcnMvZTJvRG9jLnhtbFBLBQYAAAAABgAGAFkBAADgBQAAAAA=&#10;">
                <v:fill on="f" focussize="0,0"/>
                <v:stroke on="f" weight="0.5pt"/>
                <v:imagedata o:title=""/>
                <o:lock v:ext="edit" aspectratio="f"/>
                <v:textbox>
                  <w:txbxContent>
                    <w:p>
                      <w:pPr>
                        <w:rPr>
                          <w:b/>
                          <w:sz w:val="22"/>
                        </w:rPr>
                      </w:pPr>
                      <w:r>
                        <w:rPr>
                          <w:b/>
                          <w:sz w:val="22"/>
                        </w:rPr>
                        <w:t>50</w:t>
                      </w:r>
                      <w:r>
                        <w:rPr>
                          <w:rFonts w:hint="eastAsia"/>
                          <w:b/>
                          <w:sz w:val="22"/>
                        </w:rPr>
                        <w:t>m</w:t>
                      </w:r>
                    </w:p>
                  </w:txbxContent>
                </v:textbox>
              </v:shap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7677150</wp:posOffset>
                </wp:positionH>
                <wp:positionV relativeFrom="paragraph">
                  <wp:posOffset>4633595</wp:posOffset>
                </wp:positionV>
                <wp:extent cx="1057275" cy="281305"/>
                <wp:effectExtent l="0" t="0" r="0" b="0"/>
                <wp:wrapNone/>
                <wp:docPr id="70" name="文本框 70"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1057275" cy="281305"/>
                        </a:xfrm>
                        <a:prstGeom prst="rect">
                          <a:avLst/>
                        </a:prstGeom>
                        <a:solidFill>
                          <a:schemeClr val="bg1">
                            <a:lumMod val="100000"/>
                            <a:lumOff val="0"/>
                            <a:alpha val="0"/>
                          </a:schemeClr>
                        </a:solidFill>
                        <a:ln>
                          <a:noFill/>
                        </a:ln>
                      </wps:spPr>
                      <wps:txbx>
                        <w:txbxContent>
                          <w:p>
                            <w:pPr>
                              <w:rPr>
                                <w:b/>
                                <w:sz w:val="22"/>
                              </w:rPr>
                            </w:pPr>
                            <w:r>
                              <w:rPr>
                                <w:rFonts w:hint="eastAsia"/>
                                <w:b/>
                                <w:sz w:val="22"/>
                              </w:rPr>
                              <w:t>比例：</w:t>
                            </w:r>
                            <w:r>
                              <w:rPr>
                                <w:b/>
                                <w:sz w:val="22"/>
                              </w:rPr>
                              <w:t>1:2500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604.5pt;margin-top:364.85pt;height:22.15pt;width:83.25pt;z-index:251693056;mso-width-relative:page;mso-height-relative:page;" fillcolor="#FFFFFF [3228]" filled="t" stroked="f" coordsize="21600,21600" o:gfxdata="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Q8uDq2gAAAA0BAAAPAAAAAAAAAAEAIAAAACIAAABkcnMvZG93bnJldi54bWxQ&#10;SwECFAAUAAAACACHTuJAvYWhTGcCAACsBAAADgAAAAAAAAABACAAAAApAQAAZHJzL2Uyb0RvYy54&#10;bWxQSwUGAAAAAAYABgBZAQAAAgYAAAAA&#10;">
                <v:fill on="t" opacity="0f" focussize="0,0"/>
                <v:stroke on="f"/>
                <v:imagedata o:title=""/>
                <o:lock v:ext="edit" aspectratio="f"/>
                <v:textbox>
                  <w:txbxContent>
                    <w:p>
                      <w:pPr>
                        <w:rPr>
                          <w:b/>
                          <w:sz w:val="22"/>
                        </w:rPr>
                      </w:pPr>
                      <w:r>
                        <w:rPr>
                          <w:rFonts w:hint="eastAsia"/>
                          <w:b/>
                          <w:sz w:val="22"/>
                        </w:rPr>
                        <w:t>比例：</w:t>
                      </w:r>
                      <w:r>
                        <w:rPr>
                          <w:b/>
                          <w:sz w:val="22"/>
                        </w:rPr>
                        <w:t>1:2500</w:t>
                      </w:r>
                    </w:p>
                  </w:txbxContent>
                </v:textbox>
              </v:shape>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7995920</wp:posOffset>
                </wp:positionH>
                <wp:positionV relativeFrom="paragraph">
                  <wp:posOffset>4311650</wp:posOffset>
                </wp:positionV>
                <wp:extent cx="381635" cy="2813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81526"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6pt;margin-top:339.5pt;height:22.15pt;width:30.05pt;z-index:251695104;mso-width-relative:page;mso-height-relative:page;" filled="f" stroked="f" coordsize="21600,21600" o:gfxdata="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TsunNwAAAANAQAADwAAAAAAAAABACAA&#10;AAAiAAAAZHJzL2Rvd25yZXYueG1sUEsBAhQAFAAAAAgAh07iQCRl24BCAgAAdQQAAA4AAAAAAAAA&#10;AQAgAAAAKwEAAGRycy9lMm9Eb2MueG1sUEsFBgAAAAAGAAYAWQEAAN8FAAAAAA==&#10;">
                <v:fill on="f" focussize="0,0"/>
                <v:stroke on="f" weight="0.5pt"/>
                <v:imagedata o:title=""/>
                <o:lock v:ext="edit" aspectratio="f"/>
                <v:textbox>
                  <w:txbxContent>
                    <w:p>
                      <w:pPr>
                        <w:rPr>
                          <w:b/>
                          <w:sz w:val="22"/>
                        </w:rPr>
                      </w:pPr>
                      <w:r>
                        <w:rPr>
                          <w:b/>
                          <w:sz w:val="22"/>
                        </w:rPr>
                        <w:t>25</w:t>
                      </w:r>
                    </w:p>
                  </w:txbxContent>
                </v:textbox>
              </v:shape>
            </w:pict>
          </mc:Fallback>
        </mc:AlternateContent>
      </w:r>
      <w:r>
        <mc:AlternateContent>
          <mc:Choice Requires="wps">
            <w:drawing>
              <wp:anchor distT="45720" distB="45720" distL="114300" distR="114300" simplePos="0" relativeHeight="251661312" behindDoc="0" locked="0" layoutInCell="1" allowOverlap="1">
                <wp:simplePos x="0" y="0"/>
                <wp:positionH relativeFrom="column">
                  <wp:posOffset>6600825</wp:posOffset>
                </wp:positionH>
                <wp:positionV relativeFrom="paragraph">
                  <wp:posOffset>1090295</wp:posOffset>
                </wp:positionV>
                <wp:extent cx="542925" cy="1635125"/>
                <wp:effectExtent l="0" t="0" r="0" b="0"/>
                <wp:wrapNone/>
                <wp:docPr id="72" name="文本框 2"/>
                <wp:cNvGraphicFramePr/>
                <a:graphic xmlns:a="http://schemas.openxmlformats.org/drawingml/2006/main">
                  <a:graphicData uri="http://schemas.microsoft.com/office/word/2010/wordprocessingShape">
                    <wps:wsp>
                      <wps:cNvSpPr txBox="1">
                        <a:spLocks noChangeArrowheads="1"/>
                      </wps:cNvSpPr>
                      <wps:spPr bwMode="auto">
                        <a:xfrm rot="20019371">
                          <a:off x="0" y="0"/>
                          <a:ext cx="542925" cy="1635083"/>
                        </a:xfrm>
                        <a:prstGeom prst="rect">
                          <a:avLst/>
                        </a:prstGeom>
                        <a:noFill/>
                        <a:ln w="19050">
                          <a:noFill/>
                          <a:miter lim="800000"/>
                        </a:ln>
                      </wps:spPr>
                      <wps:txbx>
                        <w:txbxContent>
                          <w:p>
                            <w:pPr>
                              <w:jc w:val="center"/>
                              <w:rPr>
                                <w:b/>
                                <w:bCs/>
                                <w:sz w:val="28"/>
                                <w:szCs w:val="28"/>
                              </w:rPr>
                            </w:pPr>
                            <w:r>
                              <w:rPr>
                                <w:rFonts w:hint="eastAsia"/>
                                <w:b/>
                                <w:bCs/>
                                <w:sz w:val="28"/>
                                <w:szCs w:val="28"/>
                              </w:rPr>
                              <w:t>农</w:t>
                            </w:r>
                          </w:p>
                          <w:p>
                            <w:pPr>
                              <w:jc w:val="center"/>
                              <w:rPr>
                                <w:b/>
                                <w:bCs/>
                                <w:sz w:val="28"/>
                                <w:szCs w:val="28"/>
                              </w:rPr>
                            </w:pPr>
                          </w:p>
                          <w:p>
                            <w:pPr>
                              <w:jc w:val="center"/>
                              <w:rPr>
                                <w:b/>
                                <w:bCs/>
                                <w:sz w:val="28"/>
                                <w:szCs w:val="28"/>
                              </w:rPr>
                            </w:pPr>
                            <w:r>
                              <w:rPr>
                                <w:rFonts w:hint="eastAsia"/>
                                <w:b/>
                                <w:bCs/>
                                <w:sz w:val="28"/>
                                <w:szCs w:val="28"/>
                              </w:rPr>
                              <w:t>田</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19.75pt;margin-top:85.85pt;height:128.75pt;width:42.75pt;rotation:-1726468f;z-index:251661312;mso-width-relative:page;mso-height-relative:page;" filled="f" stroked="f" coordsize="21600,21600" o:gfxdata="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vFYe2gAAAA0BAAAPAAAAAAAAAAEAIAAAACIAAABkcnMvZG93bnJldi54bWxQ&#10;SwECFAAUAAAACACHTuJA2DqQ9C4CAAA6BAAADgAAAAAAAAABACAAAAApAQAAZHJzL2Uyb0RvYy54&#10;bWxQSwUGAAAAAAYABgBZAQAAyQUAAAAA&#10;">
                <v:fill on="f" focussize="0,0"/>
                <v:stroke on="f" weight="1.5pt" miterlimit="8" joinstyle="miter"/>
                <v:imagedata o:title=""/>
                <o:lock v:ext="edit" aspectratio="f"/>
                <v:textbox>
                  <w:txbxContent>
                    <w:p>
                      <w:pPr>
                        <w:jc w:val="center"/>
                        <w:rPr>
                          <w:b/>
                          <w:bCs/>
                          <w:sz w:val="28"/>
                          <w:szCs w:val="28"/>
                        </w:rPr>
                      </w:pPr>
                      <w:r>
                        <w:rPr>
                          <w:rFonts w:hint="eastAsia"/>
                          <w:b/>
                          <w:bCs/>
                          <w:sz w:val="28"/>
                          <w:szCs w:val="28"/>
                        </w:rPr>
                        <w:t>农</w:t>
                      </w:r>
                    </w:p>
                    <w:p>
                      <w:pPr>
                        <w:jc w:val="center"/>
                        <w:rPr>
                          <w:b/>
                          <w:bCs/>
                          <w:sz w:val="28"/>
                          <w:szCs w:val="28"/>
                        </w:rPr>
                      </w:pPr>
                    </w:p>
                    <w:p>
                      <w:pPr>
                        <w:jc w:val="center"/>
                        <w:rPr>
                          <w:b/>
                          <w:bCs/>
                          <w:sz w:val="28"/>
                          <w:szCs w:val="28"/>
                        </w:rPr>
                      </w:pPr>
                      <w:r>
                        <w:rPr>
                          <w:rFonts w:hint="eastAsia"/>
                          <w:b/>
                          <w:bCs/>
                          <w:sz w:val="28"/>
                          <w:szCs w:val="28"/>
                        </w:rPr>
                        <w:t>田</w:t>
                      </w:r>
                    </w:p>
                  </w:txbxContent>
                </v:textbox>
              </v:shape>
            </w:pict>
          </mc:Fallback>
        </mc:AlternateContent>
      </w:r>
      <w:r>
        <mc:AlternateContent>
          <mc:Choice Requires="wps">
            <w:drawing>
              <wp:anchor distT="45720" distB="45720" distL="114300" distR="114300" simplePos="0" relativeHeight="251699200" behindDoc="0" locked="0" layoutInCell="1" allowOverlap="1">
                <wp:simplePos x="0" y="0"/>
                <wp:positionH relativeFrom="column">
                  <wp:posOffset>4799965</wp:posOffset>
                </wp:positionH>
                <wp:positionV relativeFrom="paragraph">
                  <wp:posOffset>2395220</wp:posOffset>
                </wp:positionV>
                <wp:extent cx="1990725" cy="1404620"/>
                <wp:effectExtent l="0" t="0" r="0" b="0"/>
                <wp:wrapNone/>
                <wp:docPr id="7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19050">
                          <a:noFill/>
                          <a:miter lim="800000"/>
                        </a:ln>
                      </wps:spPr>
                      <wps:txbx>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河南意诺康医疗器械有限公司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77.95pt;margin-top:188.6pt;height:110.6pt;width:156.75pt;z-index:251699200;mso-width-relative:page;mso-height-relative:margin;mso-height-percent:200;" filled="f" stroked="f" coordsize="21600,21600" o:gfxdata="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4JEx3AAAAAwBAAAPAAAAAAAAAAEAIAAAACIAAABkcnMvZG93bnJldi54bWxQSwECFAAU&#10;AAAACACHTuJAdF8VDyYCAAAsBAAADgAAAAAAAAABACAAAAArAQAAZHJzL2Uyb0RvYy54bWxQSwUG&#10;AAAAAAYABgBZAQAAwwUAAAAA&#10;">
                <v:fill on="f" focussize="0,0"/>
                <v:stroke on="f" weight="1.5pt" miterlimit="8" joinstyle="miter"/>
                <v:imagedata o:title=""/>
                <o:lock v:ext="edit" aspectratio="f"/>
                <v:textbox style="mso-fit-shape-to-text:t;">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河南意诺康医疗器械有限公司</w:t>
                      </w:r>
                    </w:p>
                  </w:txbxContent>
                </v:textbox>
              </v:shape>
            </w:pict>
          </mc:Fallback>
        </mc:AlternateContent>
      </w:r>
      <w:r>
        <mc:AlternateContent>
          <mc:Choice Requires="wps">
            <w:drawing>
              <wp:anchor distT="45720" distB="45720" distL="114300" distR="114300" simplePos="0" relativeHeight="251698176" behindDoc="0" locked="0" layoutInCell="1" allowOverlap="1">
                <wp:simplePos x="0" y="0"/>
                <wp:positionH relativeFrom="column">
                  <wp:posOffset>5905500</wp:posOffset>
                </wp:positionH>
                <wp:positionV relativeFrom="paragraph">
                  <wp:posOffset>3804920</wp:posOffset>
                </wp:positionV>
                <wp:extent cx="990600" cy="1404620"/>
                <wp:effectExtent l="0" t="0" r="0" b="0"/>
                <wp:wrapNone/>
                <wp:docPr id="7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19050">
                          <a:noFill/>
                          <a:miter lim="800000"/>
                        </a:ln>
                      </wps:spPr>
                      <wps:txbx>
                        <w:txbxContent>
                          <w:p>
                            <w:pPr>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永利冷藏</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65pt;margin-top:299.6pt;height:110.6pt;width:78pt;z-index:251698176;mso-width-relative:page;mso-height-relative:margin;mso-height-percent:200;" filled="f" stroked="f" coordsize="21600,21600" o:gfxdata="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WOvCLbAAAADAEAAA8AAAAAAAAAAQAgAAAAIgAAAGRycy9kb3ducmV2LnhtbFBLAQIUABQA&#10;AAAIAIdO4kDw/McpJgIAACsEAAAOAAAAAAAAAAEAIAAAACoBAABkcnMvZTJvRG9jLnhtbFBLBQYA&#10;AAAABgAGAFkBAADCBQAAAAA=&#10;">
                <v:fill on="f" focussize="0,0"/>
                <v:stroke on="f" weight="1.5pt" miterlimit="8" joinstyle="miter"/>
                <v:imagedata o:title=""/>
                <o:lock v:ext="edit" aspectratio="f"/>
                <v:textbox style="mso-fit-shape-to-text:t;">
                  <w:txbxContent>
                    <w:p>
                      <w:pPr>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永利冷藏</w:t>
                      </w:r>
                    </w:p>
                  </w:txbxContent>
                </v:textbox>
              </v:shape>
            </w:pict>
          </mc:Fallback>
        </mc:AlternateContent>
      </w:r>
      <w:r>
        <mc:AlternateContent>
          <mc:Choice Requires="wps">
            <w:drawing>
              <wp:anchor distT="45720" distB="45720" distL="114300" distR="114300" simplePos="0" relativeHeight="251689984" behindDoc="0" locked="0" layoutInCell="1" allowOverlap="1">
                <wp:simplePos x="0" y="0"/>
                <wp:positionH relativeFrom="column">
                  <wp:posOffset>3343275</wp:posOffset>
                </wp:positionH>
                <wp:positionV relativeFrom="paragraph">
                  <wp:posOffset>3582035</wp:posOffset>
                </wp:positionV>
                <wp:extent cx="990600" cy="1404620"/>
                <wp:effectExtent l="0" t="0" r="0" b="0"/>
                <wp:wrapNone/>
                <wp:docPr id="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19050">
                          <a:noFill/>
                          <a:miter lim="800000"/>
                        </a:ln>
                      </wps:spPr>
                      <wps:txbx>
                        <w:txbxContent>
                          <w:p>
                            <w:pPr>
                              <w:jc w:val="center"/>
                              <w:rPr>
                                <w:b/>
                                <w:bCs/>
                                <w:color w:val="FFFF00"/>
                                <w:sz w:val="28"/>
                                <w:szCs w:val="28"/>
                              </w:rPr>
                            </w:pPr>
                            <w:r>
                              <w:rPr>
                                <w:rFonts w:hint="eastAsia"/>
                                <w:b/>
                                <w:bCs/>
                                <w:color w:val="FFFF00"/>
                                <w:sz w:val="28"/>
                                <w:szCs w:val="28"/>
                              </w:rPr>
                              <w:t>大丰农牧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63.25pt;margin-top:282.05pt;height:110.6pt;width:78pt;z-index:251689984;mso-width-relative:page;mso-height-relative:margin;mso-height-percent:200;" filled="f" stroked="f" coordsize="21600,21600" o:gfxdata="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Dp3NoAAAALAQAADwAAAAAAAAABACAAAAAiAAAAZHJzL2Rvd25yZXYueG1sUEsBAhQAFAAA&#10;AAgAh07iQOjYY+cmAgAAKwQAAA4AAAAAAAAAAQAgAAAAKQEAAGRycy9lMm9Eb2MueG1sUEsFBgAA&#10;AAAGAAYAWQEAAMEFAAAAAA==&#10;">
                <v:fill on="f" focussize="0,0"/>
                <v:stroke on="f" weight="1.5pt" miterlimit="8" joinstyle="miter"/>
                <v:imagedata o:title=""/>
                <o:lock v:ext="edit" aspectratio="f"/>
                <v:textbox style="mso-fit-shape-to-text:t;">
                  <w:txbxContent>
                    <w:p>
                      <w:pPr>
                        <w:jc w:val="center"/>
                        <w:rPr>
                          <w:b/>
                          <w:bCs/>
                          <w:color w:val="FFFF00"/>
                          <w:sz w:val="28"/>
                          <w:szCs w:val="28"/>
                        </w:rPr>
                      </w:pPr>
                      <w:r>
                        <w:rPr>
                          <w:rFonts w:hint="eastAsia"/>
                          <w:b/>
                          <w:bCs/>
                          <w:color w:val="FFFF00"/>
                          <w:sz w:val="28"/>
                          <w:szCs w:val="28"/>
                        </w:rPr>
                        <w:t>大丰农牧</w:t>
                      </w:r>
                    </w:p>
                  </w:txbxContent>
                </v:textbox>
              </v:shape>
            </w:pict>
          </mc:Fallback>
        </mc:AlternateContent>
      </w:r>
      <w:r>
        <mc:AlternateContent>
          <mc:Choice Requires="wps">
            <w:drawing>
              <wp:anchor distT="45720" distB="45720" distL="114300" distR="114300" simplePos="0" relativeHeight="251692032" behindDoc="0" locked="0" layoutInCell="1" allowOverlap="1">
                <wp:simplePos x="0" y="0"/>
                <wp:positionH relativeFrom="column">
                  <wp:posOffset>4519930</wp:posOffset>
                </wp:positionH>
                <wp:positionV relativeFrom="paragraph">
                  <wp:posOffset>2956560</wp:posOffset>
                </wp:positionV>
                <wp:extent cx="482600" cy="1741170"/>
                <wp:effectExtent l="0" t="0" r="0" b="0"/>
                <wp:wrapNone/>
                <wp:docPr id="76" name="文本框 2"/>
                <wp:cNvGraphicFramePr/>
                <a:graphic xmlns:a="http://schemas.openxmlformats.org/drawingml/2006/main">
                  <a:graphicData uri="http://schemas.microsoft.com/office/word/2010/wordprocessingShape">
                    <wps:wsp>
                      <wps:cNvSpPr txBox="1">
                        <a:spLocks noChangeArrowheads="1"/>
                      </wps:cNvSpPr>
                      <wps:spPr bwMode="auto">
                        <a:xfrm rot="20482758">
                          <a:off x="0" y="0"/>
                          <a:ext cx="482523" cy="1741306"/>
                        </a:xfrm>
                        <a:prstGeom prst="rect">
                          <a:avLst/>
                        </a:prstGeom>
                        <a:noFill/>
                        <a:ln w="19050">
                          <a:noFill/>
                          <a:miter lim="800000"/>
                        </a:ln>
                      </wps:spPr>
                      <wps:txbx>
                        <w:txbxContent>
                          <w:p>
                            <w:pPr>
                              <w:jc w:val="center"/>
                              <w:rPr>
                                <w:b/>
                                <w:bCs/>
                                <w:sz w:val="28"/>
                                <w:szCs w:val="28"/>
                              </w:rPr>
                            </w:pPr>
                            <w:r>
                              <w:rPr>
                                <w:rFonts w:hint="eastAsia"/>
                                <w:b/>
                                <w:bCs/>
                                <w:sz w:val="28"/>
                                <w:szCs w:val="28"/>
                              </w:rPr>
                              <w:t>园区道路</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55.9pt;margin-top:232.8pt;height:137.1pt;width:38pt;rotation:-1220326f;z-index:251692032;mso-width-relative:page;mso-height-relative:page;" filled="f" stroked="f" coordsize="21600,21600" o:gfxdata="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tLfc2AAAAAsBAAAPAAAAAAAAAAEAIAAAACIAAABkcnMvZG93bnJldi54bWxQSwEC&#10;FAAUAAAACACHTuJAT1o1TC0CAAA6BAAADgAAAAAAAAABACAAAAAnAQAAZHJzL2Uyb0RvYy54bWxQ&#10;SwUGAAAAAAYABgBZAQAAxgUAAAAA&#10;">
                <v:fill on="f" focussize="0,0"/>
                <v:stroke on="f" weight="1.5pt" miterlimit="8" joinstyle="miter"/>
                <v:imagedata o:title=""/>
                <o:lock v:ext="edit" aspectratio="f"/>
                <v:textbox>
                  <w:txbxContent>
                    <w:p>
                      <w:pPr>
                        <w:jc w:val="center"/>
                        <w:rPr>
                          <w:b/>
                          <w:bCs/>
                          <w:sz w:val="28"/>
                          <w:szCs w:val="28"/>
                        </w:rPr>
                      </w:pPr>
                      <w:r>
                        <w:rPr>
                          <w:rFonts w:hint="eastAsia"/>
                          <w:b/>
                          <w:bCs/>
                          <w:sz w:val="28"/>
                          <w:szCs w:val="28"/>
                        </w:rPr>
                        <w:t>园区道路</w:t>
                      </w:r>
                    </w:p>
                  </w:txbxContent>
                </v:textbox>
              </v:shape>
            </w:pict>
          </mc:Fallback>
        </mc:AlternateContent>
      </w:r>
      <w:r>
        <mc:AlternateContent>
          <mc:Choice Requires="wps">
            <w:drawing>
              <wp:anchor distT="45720" distB="45720" distL="114300" distR="114300" simplePos="0" relativeHeight="251691008" behindDoc="0" locked="0" layoutInCell="1" allowOverlap="1">
                <wp:simplePos x="0" y="0"/>
                <wp:positionH relativeFrom="column">
                  <wp:posOffset>3044825</wp:posOffset>
                </wp:positionH>
                <wp:positionV relativeFrom="paragraph">
                  <wp:posOffset>2089785</wp:posOffset>
                </wp:positionV>
                <wp:extent cx="323850" cy="1371600"/>
                <wp:effectExtent l="0" t="523875" r="0" b="0"/>
                <wp:wrapNone/>
                <wp:docPr id="77" name="文本框 2"/>
                <wp:cNvGraphicFramePr/>
                <a:graphic xmlns:a="http://schemas.openxmlformats.org/drawingml/2006/main">
                  <a:graphicData uri="http://schemas.microsoft.com/office/word/2010/wordprocessingShape">
                    <wps:wsp>
                      <wps:cNvSpPr txBox="1">
                        <a:spLocks noChangeArrowheads="1"/>
                      </wps:cNvSpPr>
                      <wps:spPr bwMode="auto">
                        <a:xfrm rot="3854831">
                          <a:off x="0" y="0"/>
                          <a:ext cx="323850" cy="1371600"/>
                        </a:xfrm>
                        <a:prstGeom prst="rect">
                          <a:avLst/>
                        </a:prstGeom>
                        <a:noFill/>
                        <a:ln w="19050">
                          <a:noFill/>
                          <a:miter lim="800000"/>
                        </a:ln>
                      </wps:spPr>
                      <wps:txbx>
                        <w:txbxContent>
                          <w:p>
                            <w:pPr>
                              <w:jc w:val="center"/>
                              <w:rPr>
                                <w:b/>
                                <w:bCs/>
                                <w:sz w:val="28"/>
                                <w:szCs w:val="28"/>
                              </w:rPr>
                            </w:pPr>
                            <w:r>
                              <w:rPr>
                                <w:rFonts w:hint="eastAsia"/>
                                <w:b/>
                                <w:bCs/>
                                <w:sz w:val="28"/>
                                <w:szCs w:val="28"/>
                              </w:rPr>
                              <w:t>纬八路</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9.75pt;margin-top:164.55pt;height:108pt;width:25.5pt;rotation:4210503f;z-index:251691008;mso-width-relative:page;mso-height-relative:page;" filled="f" stroked="f" coordsize="21600,21600" o:gfxdata="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DqCI3bAAAACwEAAA8AAAAAAAAAAQAgAAAAIgAAAGRycy9kb3ducmV2LnhtbFBL&#10;AQIUABQAAAAIAIdO4kAxj/D7LAIAADkEAAAOAAAAAAAAAAEAIAAAACoBAABkcnMvZTJvRG9jLnht&#10;bFBLBQYAAAAABgAGAFkBAADIBQAAAAA=&#10;">
                <v:fill on="f" focussize="0,0"/>
                <v:stroke on="f" weight="1.5pt" miterlimit="8" joinstyle="miter"/>
                <v:imagedata o:title=""/>
                <o:lock v:ext="edit" aspectratio="f"/>
                <v:textbox>
                  <w:txbxContent>
                    <w:p>
                      <w:pPr>
                        <w:jc w:val="center"/>
                        <w:rPr>
                          <w:b/>
                          <w:bCs/>
                          <w:sz w:val="28"/>
                          <w:szCs w:val="28"/>
                        </w:rPr>
                      </w:pPr>
                      <w:r>
                        <w:rPr>
                          <w:rFonts w:hint="eastAsia"/>
                          <w:b/>
                          <w:bCs/>
                          <w:sz w:val="28"/>
                          <w:szCs w:val="28"/>
                        </w:rPr>
                        <w:t>纬八路</w:t>
                      </w:r>
                    </w:p>
                  </w:txbxContent>
                </v:textbox>
              </v:shape>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7694295</wp:posOffset>
                </wp:positionH>
                <wp:positionV relativeFrom="paragraph">
                  <wp:posOffset>4298315</wp:posOffset>
                </wp:positionV>
                <wp:extent cx="213995" cy="28130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139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85pt;margin-top:338.45pt;height:22.15pt;width:16.85pt;z-index:251694080;mso-width-relative:page;mso-height-relative:page;" filled="f" stroked="f" coordsize="21600,21600" o:gfxdata="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OMoN/dAAAADQEAAA8AAAAAAAAAAQAg&#10;AAAAIgAAAGRycy9kb3ducmV2LnhtbFBLAQIUABQAAAAIAIdO4kAYRe8IQgIAAHUEAAAOAAAAAAAA&#10;AAEAIAAAACwBAABkcnMvZTJvRG9jLnhtbFBLBQYAAAAABgAGAFkBAADgBQAAAAA=&#10;">
                <v:fill on="f" focussize="0,0"/>
                <v:stroke on="f" weight="0.5pt"/>
                <v:imagedata o:title=""/>
                <o:lock v:ext="edit" aspectratio="f"/>
                <v:textbox>
                  <w:txbxContent>
                    <w:p>
                      <w:pPr>
                        <w:rPr>
                          <w:b/>
                          <w:sz w:val="22"/>
                        </w:rPr>
                      </w:pPr>
                      <w:r>
                        <w:rPr>
                          <w:b/>
                          <w:sz w:val="22"/>
                        </w:rPr>
                        <w:t>0</w:t>
                      </w:r>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7813040</wp:posOffset>
                </wp:positionH>
                <wp:positionV relativeFrom="paragraph">
                  <wp:posOffset>4545965</wp:posOffset>
                </wp:positionV>
                <wp:extent cx="723900" cy="107950"/>
                <wp:effectExtent l="2540" t="0" r="16510" b="6350"/>
                <wp:wrapNone/>
                <wp:docPr id="79" name="组合 79"/>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80" name="直接连接符 3"/>
                        <wps:cNvCnPr>
                          <a:cxnSpLocks noChangeShapeType="1"/>
                        </wps:cNvCnPr>
                        <wps:spPr bwMode="auto">
                          <a:xfrm>
                            <a:off x="0" y="983"/>
                            <a:ext cx="3600" cy="0"/>
                          </a:xfrm>
                          <a:prstGeom prst="line">
                            <a:avLst/>
                          </a:prstGeom>
                          <a:noFill/>
                          <a:ln w="28575">
                            <a:solidFill>
                              <a:srgbClr val="000000"/>
                            </a:solidFill>
                            <a:round/>
                          </a:ln>
                        </wps:spPr>
                        <wps:bodyPr/>
                      </wps:wsp>
                      <wps:wsp>
                        <wps:cNvPr id="81" name="直接连接符 4"/>
                        <wps:cNvCnPr>
                          <a:cxnSpLocks noChangeShapeType="1"/>
                        </wps:cNvCnPr>
                        <wps:spPr bwMode="auto">
                          <a:xfrm flipV="1">
                            <a:off x="115" y="0"/>
                            <a:ext cx="0" cy="1079"/>
                          </a:xfrm>
                          <a:prstGeom prst="line">
                            <a:avLst/>
                          </a:prstGeom>
                          <a:noFill/>
                          <a:ln w="28575">
                            <a:solidFill>
                              <a:srgbClr val="000000"/>
                            </a:solidFill>
                            <a:round/>
                          </a:ln>
                        </wps:spPr>
                        <wps:bodyPr/>
                      </wps:wsp>
                      <wps:wsp>
                        <wps:cNvPr id="82" name="直接连接符 5"/>
                        <wps:cNvCnPr>
                          <a:cxnSpLocks noChangeShapeType="1"/>
                        </wps:cNvCnPr>
                        <wps:spPr bwMode="auto">
                          <a:xfrm flipV="1">
                            <a:off x="3530" y="57"/>
                            <a:ext cx="0" cy="1080"/>
                          </a:xfrm>
                          <a:prstGeom prst="line">
                            <a:avLst/>
                          </a:prstGeom>
                          <a:noFill/>
                          <a:ln w="28575">
                            <a:solidFill>
                              <a:srgbClr val="000000"/>
                            </a:solidFill>
                            <a:round/>
                          </a:ln>
                        </wps:spPr>
                        <wps:bodyPr/>
                      </wps:wsp>
                      <wps:wsp>
                        <wps:cNvPr id="83" name="直接连接符 6"/>
                        <wps:cNvCnPr>
                          <a:cxnSpLocks noChangeShapeType="1"/>
                        </wps:cNvCnPr>
                        <wps:spPr bwMode="auto">
                          <a:xfrm>
                            <a:off x="3646" y="983"/>
                            <a:ext cx="3594" cy="0"/>
                          </a:xfrm>
                          <a:prstGeom prst="line">
                            <a:avLst/>
                          </a:prstGeom>
                          <a:noFill/>
                          <a:ln w="28575">
                            <a:solidFill>
                              <a:srgbClr val="000000"/>
                            </a:solidFill>
                            <a:round/>
                          </a:ln>
                        </wps:spPr>
                        <wps:bodyPr/>
                      </wps:wsp>
                      <wps:wsp>
                        <wps:cNvPr id="84" name="直接连接符 7"/>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615.2pt;margin-top:357.95pt;height:8.5pt;width:57pt;z-index:251660288;mso-width-relative:page;mso-height-relative:page;" coordsize="7240,1137" o:gfxdata="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7lEZjdsAAAANAQAADwAAAAAAAAABACAAAAAiAAAA&#10;ZHJzL2Rvd25yZXYueG1sUEsBAhQAFAAAAAgAh07iQJjOj+/oAgAALgwAAA4AAAAAAAAAAQAgAAAA&#10;KgEAAGRycy9lMm9Eb2MueG1sUEsFBgAAAAAGAAYAWQEAAIQGAAAAAA==&#10;">
                <o:lock v:ext="edit" aspectratio="f"/>
                <v:line id="直接连接符 3" o:spid="_x0000_s1026" o:spt="20" style="position:absolute;left:0;top:983;height:0;width:3600;" filled="f" stroked="t" coordsize="21600,21600" o:gfxdata="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HbabgAAADbAAAA&#10;DwAAAAAAAAABACAAAAAiAAAAZHJzL2Rvd25yZXYueG1sUEsBAhQAFAAAAAgAh07iQDMvBZ47AAAA&#10;OQAAABAAAAAAAAAAAQAgAAAABwEAAGRycy9zaGFwZXhtbC54bWxQSwUGAAAAAAYABgBbAQAAsQMA&#10;AAAA&#10;">
                  <v:fill on="f" focussize="0,0"/>
                  <v:stroke weight="2.25pt" color="#000000" joinstyle="round"/>
                  <v:imagedata o:title=""/>
                  <o:lock v:ext="edit" aspectratio="f"/>
                </v:line>
                <v:line id="直接连接符 4" o:spid="_x0000_s1026" o:spt="20" style="position:absolute;left:115;top:0;flip:y;height:1079;width:0;" filled="f" stroked="t" coordsize="21600,21600" o:gfxdata="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Yz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5" o:spid="_x0000_s1026" o:spt="20" style="position:absolute;left:3530;top:57;flip:y;height:1080;width:0;" filled="f" stroked="t" coordsize="21600,21600" o:gfxdata="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pyES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6" o:spid="_x0000_s1026" o:spt="20" style="position:absolute;left:3646;top:983;height:0;width:3594;" filled="f" stroked="t" coordsize="21600,21600" o:gfxdata="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RR6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7" o:spid="_x0000_s1026" o:spt="20" style="position:absolute;left:7176;top:0;flip:y;height:1079;width:0;" filled="f" stroked="t" coordsize="21600,21600" o:gfxdata="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PWr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drawing>
          <wp:anchor distT="0" distB="0" distL="114300" distR="114300" simplePos="0" relativeHeight="251697152" behindDoc="0" locked="0" layoutInCell="1" allowOverlap="1">
            <wp:simplePos x="0" y="0"/>
            <wp:positionH relativeFrom="column">
              <wp:posOffset>8286750</wp:posOffset>
            </wp:positionH>
            <wp:positionV relativeFrom="paragraph">
              <wp:posOffset>133350</wp:posOffset>
            </wp:positionV>
            <wp:extent cx="523875" cy="762000"/>
            <wp:effectExtent l="0" t="0" r="9525"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a:stretch>
                      <a:fillRect/>
                    </a:stretch>
                  </pic:blipFill>
                  <pic:spPr>
                    <a:xfrm>
                      <a:off x="0" y="0"/>
                      <a:ext cx="523948" cy="762106"/>
                    </a:xfrm>
                    <a:prstGeom prst="rect">
                      <a:avLst/>
                    </a:prstGeom>
                  </pic:spPr>
                </pic:pic>
              </a:graphicData>
            </a:graphic>
          </wp:anchor>
        </w:drawing>
      </w:r>
      <w:r>
        <w:drawing>
          <wp:inline distT="0" distB="0" distL="0" distR="0">
            <wp:extent cx="8863330" cy="5001260"/>
            <wp:effectExtent l="38100" t="38100" r="33020" b="469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8" cstate="email"/>
                    <a:stretch>
                      <a:fillRect/>
                    </a:stretch>
                  </pic:blipFill>
                  <pic:spPr>
                    <a:xfrm>
                      <a:off x="0" y="0"/>
                      <a:ext cx="8863330" cy="5001260"/>
                    </a:xfrm>
                    <a:prstGeom prst="rect">
                      <a:avLst/>
                    </a:prstGeom>
                    <a:ln w="28575">
                      <a:solidFill>
                        <a:schemeClr val="tx1"/>
                      </a:solidFill>
                    </a:ln>
                  </pic:spPr>
                </pic:pic>
              </a:graphicData>
            </a:graphic>
          </wp:inline>
        </w:drawing>
      </w:r>
    </w:p>
    <w:p>
      <w:pPr>
        <w:jc w:val="center"/>
      </w:pPr>
    </w:p>
    <w:p>
      <w:pPr>
        <w:jc w:val="center"/>
      </w:pPr>
    </w:p>
    <w:p>
      <w:pPr>
        <w:jc w:val="center"/>
        <w:sectPr>
          <w:pgSz w:w="16838" w:h="11906" w:orient="landscape"/>
          <w:pgMar w:top="1418" w:right="1418" w:bottom="1418" w:left="1418" w:header="851" w:footer="851" w:gutter="0"/>
          <w:cols w:space="720" w:num="1"/>
          <w:docGrid w:linePitch="312" w:charSpace="0"/>
        </w:sectPr>
      </w:pPr>
    </w:p>
    <w:p>
      <w:pPr>
        <w:jc w:val="center"/>
      </w:pPr>
      <w:r>
        <w:drawing>
          <wp:inline distT="0" distB="0" distL="0" distR="0">
            <wp:extent cx="7199630" cy="10271760"/>
            <wp:effectExtent l="0" t="0" r="1270" b="0"/>
            <wp:docPr id="94" name="图片 9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文本, 信件&#10;&#10;描述已自动生成"/>
                    <pic:cNvPicPr>
                      <a:picLocks noChangeAspect="1"/>
                    </pic:cNvPicPr>
                  </pic:nvPicPr>
                  <pic:blipFill>
                    <a:blip r:embed="rId49" cstate="email"/>
                    <a:stretch>
                      <a:fillRect/>
                    </a:stretch>
                  </pic:blipFill>
                  <pic:spPr>
                    <a:xfrm>
                      <a:off x="0" y="0"/>
                      <a:ext cx="7199630" cy="10271760"/>
                    </a:xfrm>
                    <a:prstGeom prst="rect">
                      <a:avLst/>
                    </a:prstGeom>
                  </pic:spPr>
                </pic:pic>
              </a:graphicData>
            </a:graphic>
          </wp:inline>
        </w:drawing>
      </w:r>
    </w:p>
    <w:p>
      <w:pPr>
        <w:jc w:val="center"/>
      </w:pPr>
      <w:r>
        <w:drawing>
          <wp:inline distT="0" distB="0" distL="0" distR="0">
            <wp:extent cx="7061835" cy="10331450"/>
            <wp:effectExtent l="0" t="0" r="5715" b="0"/>
            <wp:docPr id="109" name="图片 10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文本, 信件&#10;&#10;描述已自动生成"/>
                    <pic:cNvPicPr>
                      <a:picLocks noChangeAspect="1"/>
                    </pic:cNvPicPr>
                  </pic:nvPicPr>
                  <pic:blipFill>
                    <a:blip r:embed="rId50" cstate="email"/>
                    <a:stretch>
                      <a:fillRect/>
                    </a:stretch>
                  </pic:blipFill>
                  <pic:spPr>
                    <a:xfrm>
                      <a:off x="0" y="0"/>
                      <a:ext cx="7061835" cy="10331450"/>
                    </a:xfrm>
                    <a:prstGeom prst="rect">
                      <a:avLst/>
                    </a:prstGeom>
                  </pic:spPr>
                </pic:pic>
              </a:graphicData>
            </a:graphic>
          </wp:inline>
        </w:drawing>
      </w:r>
    </w:p>
    <w:p>
      <w:pPr>
        <w:jc w:val="center"/>
      </w:pPr>
      <w:r>
        <w:drawing>
          <wp:inline distT="0" distB="0" distL="0" distR="0">
            <wp:extent cx="7199630" cy="9979025"/>
            <wp:effectExtent l="0" t="0" r="1270" b="3175"/>
            <wp:docPr id="96" name="图片 9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文本, 信件&#10;&#10;描述已自动生成"/>
                    <pic:cNvPicPr>
                      <a:picLocks noChangeAspect="1"/>
                    </pic:cNvPicPr>
                  </pic:nvPicPr>
                  <pic:blipFill>
                    <a:blip r:embed="rId51" cstate="email"/>
                    <a:stretch>
                      <a:fillRect/>
                    </a:stretch>
                  </pic:blipFill>
                  <pic:spPr>
                    <a:xfrm>
                      <a:off x="0" y="0"/>
                      <a:ext cx="7199630" cy="9979025"/>
                    </a:xfrm>
                    <a:prstGeom prst="rect">
                      <a:avLst/>
                    </a:prstGeom>
                  </pic:spPr>
                </pic:pic>
              </a:graphicData>
            </a:graphic>
          </wp:inline>
        </w:drawing>
      </w:r>
    </w:p>
    <w:p>
      <w:pPr>
        <w:jc w:val="center"/>
      </w:pPr>
      <w:r>
        <w:drawing>
          <wp:inline distT="0" distB="0" distL="0" distR="0">
            <wp:extent cx="7199630" cy="9979025"/>
            <wp:effectExtent l="0" t="0" r="1270" b="3175"/>
            <wp:docPr id="97" name="图片 9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文本, 信件&#10;&#10;描述已自动生成"/>
                    <pic:cNvPicPr>
                      <a:picLocks noChangeAspect="1"/>
                    </pic:cNvPicPr>
                  </pic:nvPicPr>
                  <pic:blipFill>
                    <a:blip r:embed="rId52" cstate="email"/>
                    <a:stretch>
                      <a:fillRect/>
                    </a:stretch>
                  </pic:blipFill>
                  <pic:spPr>
                    <a:xfrm>
                      <a:off x="0" y="0"/>
                      <a:ext cx="7199630" cy="9979025"/>
                    </a:xfrm>
                    <a:prstGeom prst="rect">
                      <a:avLst/>
                    </a:prstGeom>
                  </pic:spPr>
                </pic:pic>
              </a:graphicData>
            </a:graphic>
          </wp:inline>
        </w:drawing>
      </w:r>
    </w:p>
    <w:p>
      <w:pPr>
        <w:jc w:val="center"/>
      </w:pPr>
      <w:r>
        <w:drawing>
          <wp:inline distT="0" distB="0" distL="0" distR="0">
            <wp:extent cx="7199630" cy="9979025"/>
            <wp:effectExtent l="0" t="0" r="1270" b="3175"/>
            <wp:docPr id="98" name="图片 9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文本, 信件&#10;&#10;描述已自动生成"/>
                    <pic:cNvPicPr>
                      <a:picLocks noChangeAspect="1"/>
                    </pic:cNvPicPr>
                  </pic:nvPicPr>
                  <pic:blipFill>
                    <a:blip r:embed="rId53" cstate="email"/>
                    <a:stretch>
                      <a:fillRect/>
                    </a:stretch>
                  </pic:blipFill>
                  <pic:spPr>
                    <a:xfrm>
                      <a:off x="0" y="0"/>
                      <a:ext cx="7199630" cy="9979025"/>
                    </a:xfrm>
                    <a:prstGeom prst="rect">
                      <a:avLst/>
                    </a:prstGeom>
                  </pic:spPr>
                </pic:pic>
              </a:graphicData>
            </a:graphic>
          </wp:inline>
        </w:drawing>
      </w:r>
      <w:bookmarkStart w:id="3" w:name="_GoBack"/>
      <w:bookmarkEnd w:id="3"/>
    </w:p>
    <w:p>
      <w:pPr>
        <w:jc w:val="center"/>
      </w:pPr>
      <w:r>
        <w:drawing>
          <wp:inline distT="0" distB="0" distL="0" distR="0">
            <wp:extent cx="7199630" cy="10263505"/>
            <wp:effectExtent l="0" t="0" r="1270" b="4445"/>
            <wp:docPr id="103" name="图片 10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文本, 信件&#10;&#10;描述已自动生成"/>
                    <pic:cNvPicPr>
                      <a:picLocks noChangeAspect="1"/>
                    </pic:cNvPicPr>
                  </pic:nvPicPr>
                  <pic:blipFill>
                    <a:blip r:embed="rId54" cstate="email"/>
                    <a:stretch>
                      <a:fillRect/>
                    </a:stretch>
                  </pic:blipFill>
                  <pic:spPr>
                    <a:xfrm>
                      <a:off x="0" y="0"/>
                      <a:ext cx="7199630" cy="10263505"/>
                    </a:xfrm>
                    <a:prstGeom prst="rect">
                      <a:avLst/>
                    </a:prstGeom>
                  </pic:spPr>
                </pic:pic>
              </a:graphicData>
            </a:graphic>
          </wp:inline>
        </w:drawing>
      </w:r>
    </w:p>
    <w:sectPr>
      <w:pgSz w:w="11906" w:h="16838"/>
      <w:pgMar w:top="284" w:right="284" w:bottom="284" w:left="28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MS Mincho">
    <w:panose1 w:val="02020609040205080304"/>
    <w:charset w:val="80"/>
    <w:family w:val="modern"/>
    <w:pitch w:val="default"/>
    <w:sig w:usb0="A00002BF" w:usb1="68C7FCFB" w:usb2="00000010" w:usb3="00000000" w:csb0="4002009F" w:csb1="DFD7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Style w:val="19"/>
        <w:rFonts w:ascii="宋体" w:hAnsi="宋体"/>
        <w:sz w:val="26"/>
        <w:szCs w:val="26"/>
      </w:rPr>
      <w:fldChar w:fldCharType="begin"/>
    </w:r>
    <w:r>
      <w:rPr>
        <w:rStyle w:val="19"/>
        <w:rFonts w:ascii="宋体" w:hAnsi="宋体"/>
        <w:sz w:val="26"/>
        <w:szCs w:val="26"/>
      </w:rPr>
      <w:instrText xml:space="preserve">PAGE  </w:instrText>
    </w:r>
    <w:r>
      <w:rPr>
        <w:rStyle w:val="19"/>
        <w:rFonts w:ascii="宋体" w:hAnsi="宋体"/>
        <w:sz w:val="26"/>
        <w:szCs w:val="26"/>
      </w:rPr>
      <w:fldChar w:fldCharType="separate"/>
    </w:r>
    <w:r>
      <w:rPr>
        <w:rStyle w:val="19"/>
        <w:rFonts w:ascii="宋体" w:hAnsi="宋体"/>
        <w:sz w:val="26"/>
        <w:szCs w:val="26"/>
      </w:rPr>
      <w:t>44</w:t>
    </w:r>
    <w:r>
      <w:rPr>
        <w:rStyle w:val="19"/>
        <w:rFonts w:ascii="宋体" w:hAnsi="宋体"/>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wNmEzYTFmZTQxMzQxNTI1ODA5MzRjODAxMzBiYzkifQ=="/>
  </w:docVars>
  <w:rsids>
    <w:rsidRoot w:val="00A14947"/>
    <w:rsid w:val="000060B3"/>
    <w:rsid w:val="000115BC"/>
    <w:rsid w:val="00014BCA"/>
    <w:rsid w:val="00015A6C"/>
    <w:rsid w:val="00017546"/>
    <w:rsid w:val="000265DD"/>
    <w:rsid w:val="00034578"/>
    <w:rsid w:val="0003711F"/>
    <w:rsid w:val="0003794D"/>
    <w:rsid w:val="0004364B"/>
    <w:rsid w:val="00043DD3"/>
    <w:rsid w:val="00051F7F"/>
    <w:rsid w:val="000612EC"/>
    <w:rsid w:val="00061B1F"/>
    <w:rsid w:val="00066A32"/>
    <w:rsid w:val="00072A85"/>
    <w:rsid w:val="000733C4"/>
    <w:rsid w:val="00074783"/>
    <w:rsid w:val="0008070B"/>
    <w:rsid w:val="000810AC"/>
    <w:rsid w:val="00081A02"/>
    <w:rsid w:val="00081FFB"/>
    <w:rsid w:val="00082231"/>
    <w:rsid w:val="00091828"/>
    <w:rsid w:val="00092D38"/>
    <w:rsid w:val="0009377B"/>
    <w:rsid w:val="000A20C9"/>
    <w:rsid w:val="000A2563"/>
    <w:rsid w:val="000B058F"/>
    <w:rsid w:val="000B4467"/>
    <w:rsid w:val="000B4DB9"/>
    <w:rsid w:val="000B6964"/>
    <w:rsid w:val="000C04D8"/>
    <w:rsid w:val="000C09AC"/>
    <w:rsid w:val="000C2D70"/>
    <w:rsid w:val="000C40B9"/>
    <w:rsid w:val="000C621D"/>
    <w:rsid w:val="000C767F"/>
    <w:rsid w:val="000C768D"/>
    <w:rsid w:val="000D1E57"/>
    <w:rsid w:val="000D5A44"/>
    <w:rsid w:val="000E2DEC"/>
    <w:rsid w:val="000E395D"/>
    <w:rsid w:val="000E3ED2"/>
    <w:rsid w:val="000E7B53"/>
    <w:rsid w:val="000F0346"/>
    <w:rsid w:val="000F1730"/>
    <w:rsid w:val="001010E8"/>
    <w:rsid w:val="00103BD7"/>
    <w:rsid w:val="00115DCA"/>
    <w:rsid w:val="00117105"/>
    <w:rsid w:val="0012116F"/>
    <w:rsid w:val="00123373"/>
    <w:rsid w:val="00131F42"/>
    <w:rsid w:val="001357F1"/>
    <w:rsid w:val="00135FF0"/>
    <w:rsid w:val="00136BD4"/>
    <w:rsid w:val="00137F99"/>
    <w:rsid w:val="0014090A"/>
    <w:rsid w:val="00140FA8"/>
    <w:rsid w:val="00142FEB"/>
    <w:rsid w:val="00143A2D"/>
    <w:rsid w:val="00145A41"/>
    <w:rsid w:val="00146A90"/>
    <w:rsid w:val="0015044D"/>
    <w:rsid w:val="00151675"/>
    <w:rsid w:val="00153F87"/>
    <w:rsid w:val="00154977"/>
    <w:rsid w:val="00156C74"/>
    <w:rsid w:val="00156DAA"/>
    <w:rsid w:val="00157435"/>
    <w:rsid w:val="0016252D"/>
    <w:rsid w:val="00167B0C"/>
    <w:rsid w:val="0017504D"/>
    <w:rsid w:val="0017671A"/>
    <w:rsid w:val="00177422"/>
    <w:rsid w:val="00183AF2"/>
    <w:rsid w:val="00184590"/>
    <w:rsid w:val="001870D1"/>
    <w:rsid w:val="0018781E"/>
    <w:rsid w:val="0019262D"/>
    <w:rsid w:val="001A1B35"/>
    <w:rsid w:val="001A48A2"/>
    <w:rsid w:val="001A57CC"/>
    <w:rsid w:val="001A6F61"/>
    <w:rsid w:val="001B1C58"/>
    <w:rsid w:val="001B2941"/>
    <w:rsid w:val="001B56E2"/>
    <w:rsid w:val="001B72B8"/>
    <w:rsid w:val="001C0E81"/>
    <w:rsid w:val="001C6621"/>
    <w:rsid w:val="001C69B3"/>
    <w:rsid w:val="001C74B4"/>
    <w:rsid w:val="001C7BC6"/>
    <w:rsid w:val="001D4970"/>
    <w:rsid w:val="001D5595"/>
    <w:rsid w:val="001D64D5"/>
    <w:rsid w:val="001D7874"/>
    <w:rsid w:val="001D7F22"/>
    <w:rsid w:val="001E08FC"/>
    <w:rsid w:val="001E35B8"/>
    <w:rsid w:val="001E5C65"/>
    <w:rsid w:val="001F0F17"/>
    <w:rsid w:val="001F3347"/>
    <w:rsid w:val="001F3809"/>
    <w:rsid w:val="001F39F9"/>
    <w:rsid w:val="001F69E4"/>
    <w:rsid w:val="00203E02"/>
    <w:rsid w:val="00206B6C"/>
    <w:rsid w:val="002107EE"/>
    <w:rsid w:val="00211DB3"/>
    <w:rsid w:val="002125B4"/>
    <w:rsid w:val="002148E2"/>
    <w:rsid w:val="00214F43"/>
    <w:rsid w:val="002155B8"/>
    <w:rsid w:val="00224839"/>
    <w:rsid w:val="002249B2"/>
    <w:rsid w:val="00226574"/>
    <w:rsid w:val="00226C00"/>
    <w:rsid w:val="0022700C"/>
    <w:rsid w:val="002278EC"/>
    <w:rsid w:val="00230268"/>
    <w:rsid w:val="0023280E"/>
    <w:rsid w:val="00234198"/>
    <w:rsid w:val="002377D1"/>
    <w:rsid w:val="00241F6B"/>
    <w:rsid w:val="002506BC"/>
    <w:rsid w:val="00251654"/>
    <w:rsid w:val="00254345"/>
    <w:rsid w:val="00255AF7"/>
    <w:rsid w:val="00260772"/>
    <w:rsid w:val="002643E6"/>
    <w:rsid w:val="00264557"/>
    <w:rsid w:val="0028003B"/>
    <w:rsid w:val="002805AB"/>
    <w:rsid w:val="00284051"/>
    <w:rsid w:val="00284204"/>
    <w:rsid w:val="00287138"/>
    <w:rsid w:val="00291773"/>
    <w:rsid w:val="0029396B"/>
    <w:rsid w:val="002A168C"/>
    <w:rsid w:val="002A3784"/>
    <w:rsid w:val="002A3DC7"/>
    <w:rsid w:val="002A6800"/>
    <w:rsid w:val="002B49E2"/>
    <w:rsid w:val="002B4EAA"/>
    <w:rsid w:val="002B6236"/>
    <w:rsid w:val="002B7B00"/>
    <w:rsid w:val="002B7C44"/>
    <w:rsid w:val="002C1118"/>
    <w:rsid w:val="002C2B17"/>
    <w:rsid w:val="002C7478"/>
    <w:rsid w:val="002D2E67"/>
    <w:rsid w:val="002D3DD0"/>
    <w:rsid w:val="002D4B5E"/>
    <w:rsid w:val="002E1F3A"/>
    <w:rsid w:val="002E298A"/>
    <w:rsid w:val="002F253A"/>
    <w:rsid w:val="00300444"/>
    <w:rsid w:val="00301978"/>
    <w:rsid w:val="0030332C"/>
    <w:rsid w:val="003051C2"/>
    <w:rsid w:val="00305BEC"/>
    <w:rsid w:val="00306EE5"/>
    <w:rsid w:val="00312296"/>
    <w:rsid w:val="0031463C"/>
    <w:rsid w:val="00314F0E"/>
    <w:rsid w:val="00321D8E"/>
    <w:rsid w:val="00325928"/>
    <w:rsid w:val="00332863"/>
    <w:rsid w:val="0033482A"/>
    <w:rsid w:val="0033684D"/>
    <w:rsid w:val="00337B42"/>
    <w:rsid w:val="00341B42"/>
    <w:rsid w:val="0034348F"/>
    <w:rsid w:val="00346FC9"/>
    <w:rsid w:val="00354933"/>
    <w:rsid w:val="00356509"/>
    <w:rsid w:val="00356653"/>
    <w:rsid w:val="00356D0F"/>
    <w:rsid w:val="0035743F"/>
    <w:rsid w:val="00357BE2"/>
    <w:rsid w:val="0036170C"/>
    <w:rsid w:val="00362718"/>
    <w:rsid w:val="00363642"/>
    <w:rsid w:val="0036560B"/>
    <w:rsid w:val="00366E0F"/>
    <w:rsid w:val="00373DE3"/>
    <w:rsid w:val="00377299"/>
    <w:rsid w:val="00381A72"/>
    <w:rsid w:val="00381C24"/>
    <w:rsid w:val="00382166"/>
    <w:rsid w:val="003836AB"/>
    <w:rsid w:val="00384676"/>
    <w:rsid w:val="00385EF0"/>
    <w:rsid w:val="00386B47"/>
    <w:rsid w:val="00390857"/>
    <w:rsid w:val="003912EE"/>
    <w:rsid w:val="003A0712"/>
    <w:rsid w:val="003A4BF3"/>
    <w:rsid w:val="003B2E23"/>
    <w:rsid w:val="003B420D"/>
    <w:rsid w:val="003B66DD"/>
    <w:rsid w:val="003C20D1"/>
    <w:rsid w:val="003C32C3"/>
    <w:rsid w:val="003C6C16"/>
    <w:rsid w:val="003D0101"/>
    <w:rsid w:val="003D03BE"/>
    <w:rsid w:val="003D04A8"/>
    <w:rsid w:val="003D3536"/>
    <w:rsid w:val="003D468F"/>
    <w:rsid w:val="003D794D"/>
    <w:rsid w:val="003E1E93"/>
    <w:rsid w:val="003E3058"/>
    <w:rsid w:val="003E76A9"/>
    <w:rsid w:val="003F0809"/>
    <w:rsid w:val="003F6A8C"/>
    <w:rsid w:val="003F7340"/>
    <w:rsid w:val="003F755C"/>
    <w:rsid w:val="00404B9B"/>
    <w:rsid w:val="00406843"/>
    <w:rsid w:val="00406F01"/>
    <w:rsid w:val="004121FB"/>
    <w:rsid w:val="004158C1"/>
    <w:rsid w:val="004161F3"/>
    <w:rsid w:val="00416D50"/>
    <w:rsid w:val="00416FD5"/>
    <w:rsid w:val="00417772"/>
    <w:rsid w:val="00420522"/>
    <w:rsid w:val="00420E6A"/>
    <w:rsid w:val="00425A9E"/>
    <w:rsid w:val="004269EF"/>
    <w:rsid w:val="00426D6B"/>
    <w:rsid w:val="00431CC2"/>
    <w:rsid w:val="00431E6C"/>
    <w:rsid w:val="00433CE7"/>
    <w:rsid w:val="00441B93"/>
    <w:rsid w:val="00444734"/>
    <w:rsid w:val="00447162"/>
    <w:rsid w:val="0044786F"/>
    <w:rsid w:val="00447AC0"/>
    <w:rsid w:val="00447E64"/>
    <w:rsid w:val="0045103F"/>
    <w:rsid w:val="00452738"/>
    <w:rsid w:val="00453591"/>
    <w:rsid w:val="00456091"/>
    <w:rsid w:val="00466321"/>
    <w:rsid w:val="004677D1"/>
    <w:rsid w:val="004726A8"/>
    <w:rsid w:val="00477321"/>
    <w:rsid w:val="00480A5B"/>
    <w:rsid w:val="004833F2"/>
    <w:rsid w:val="004847C8"/>
    <w:rsid w:val="00484B9B"/>
    <w:rsid w:val="004855F6"/>
    <w:rsid w:val="0048661E"/>
    <w:rsid w:val="00486ACA"/>
    <w:rsid w:val="00494670"/>
    <w:rsid w:val="004A3823"/>
    <w:rsid w:val="004B4CA0"/>
    <w:rsid w:val="004B68A4"/>
    <w:rsid w:val="004B76F0"/>
    <w:rsid w:val="004C6632"/>
    <w:rsid w:val="004D13C8"/>
    <w:rsid w:val="004D16AB"/>
    <w:rsid w:val="004E53D4"/>
    <w:rsid w:val="004E6946"/>
    <w:rsid w:val="004F1AD8"/>
    <w:rsid w:val="004F2323"/>
    <w:rsid w:val="005039CB"/>
    <w:rsid w:val="0050558F"/>
    <w:rsid w:val="00506286"/>
    <w:rsid w:val="00510813"/>
    <w:rsid w:val="00511990"/>
    <w:rsid w:val="00511DE0"/>
    <w:rsid w:val="00514870"/>
    <w:rsid w:val="00514B9B"/>
    <w:rsid w:val="00515A33"/>
    <w:rsid w:val="0051622C"/>
    <w:rsid w:val="00517CAE"/>
    <w:rsid w:val="00517F02"/>
    <w:rsid w:val="00520D5B"/>
    <w:rsid w:val="00520D8D"/>
    <w:rsid w:val="00521C03"/>
    <w:rsid w:val="00524303"/>
    <w:rsid w:val="00524A47"/>
    <w:rsid w:val="00524C11"/>
    <w:rsid w:val="005258A2"/>
    <w:rsid w:val="00527313"/>
    <w:rsid w:val="005337EC"/>
    <w:rsid w:val="00535620"/>
    <w:rsid w:val="00535A3A"/>
    <w:rsid w:val="005401AE"/>
    <w:rsid w:val="00542E07"/>
    <w:rsid w:val="00545424"/>
    <w:rsid w:val="00554A7B"/>
    <w:rsid w:val="0055572C"/>
    <w:rsid w:val="0056106A"/>
    <w:rsid w:val="00562AE2"/>
    <w:rsid w:val="005672F2"/>
    <w:rsid w:val="005720AE"/>
    <w:rsid w:val="00580A88"/>
    <w:rsid w:val="0058147D"/>
    <w:rsid w:val="005866DA"/>
    <w:rsid w:val="00586911"/>
    <w:rsid w:val="005911E3"/>
    <w:rsid w:val="00591B6D"/>
    <w:rsid w:val="0059272E"/>
    <w:rsid w:val="00594D77"/>
    <w:rsid w:val="005969E4"/>
    <w:rsid w:val="005A06B7"/>
    <w:rsid w:val="005A07AD"/>
    <w:rsid w:val="005A1759"/>
    <w:rsid w:val="005A2DC2"/>
    <w:rsid w:val="005A68A7"/>
    <w:rsid w:val="005A7740"/>
    <w:rsid w:val="005A7F86"/>
    <w:rsid w:val="005B235B"/>
    <w:rsid w:val="005B3E23"/>
    <w:rsid w:val="005B6045"/>
    <w:rsid w:val="005C33C9"/>
    <w:rsid w:val="005C4CD9"/>
    <w:rsid w:val="005C4D7C"/>
    <w:rsid w:val="005C65C8"/>
    <w:rsid w:val="005C7420"/>
    <w:rsid w:val="005D1C14"/>
    <w:rsid w:val="005D36AB"/>
    <w:rsid w:val="005D5FBA"/>
    <w:rsid w:val="005D69B4"/>
    <w:rsid w:val="005E1906"/>
    <w:rsid w:val="005E1B8F"/>
    <w:rsid w:val="005F1275"/>
    <w:rsid w:val="005F4FBC"/>
    <w:rsid w:val="005F6798"/>
    <w:rsid w:val="005F7692"/>
    <w:rsid w:val="00604189"/>
    <w:rsid w:val="00605361"/>
    <w:rsid w:val="006079DA"/>
    <w:rsid w:val="00610992"/>
    <w:rsid w:val="00612343"/>
    <w:rsid w:val="006156B5"/>
    <w:rsid w:val="00617CC3"/>
    <w:rsid w:val="00631B41"/>
    <w:rsid w:val="0063619D"/>
    <w:rsid w:val="006377A6"/>
    <w:rsid w:val="00637A3D"/>
    <w:rsid w:val="006411EF"/>
    <w:rsid w:val="0064139B"/>
    <w:rsid w:val="0064179B"/>
    <w:rsid w:val="0064259A"/>
    <w:rsid w:val="006522B1"/>
    <w:rsid w:val="00665A45"/>
    <w:rsid w:val="00670F3F"/>
    <w:rsid w:val="00671522"/>
    <w:rsid w:val="006748B8"/>
    <w:rsid w:val="00675128"/>
    <w:rsid w:val="00675D9B"/>
    <w:rsid w:val="006775C3"/>
    <w:rsid w:val="00682CE5"/>
    <w:rsid w:val="00687546"/>
    <w:rsid w:val="0069290A"/>
    <w:rsid w:val="0069327F"/>
    <w:rsid w:val="00693B1C"/>
    <w:rsid w:val="006969FA"/>
    <w:rsid w:val="0069775A"/>
    <w:rsid w:val="00697813"/>
    <w:rsid w:val="006A2E55"/>
    <w:rsid w:val="006A3EE8"/>
    <w:rsid w:val="006A72BF"/>
    <w:rsid w:val="006B03F2"/>
    <w:rsid w:val="006B2296"/>
    <w:rsid w:val="006B268C"/>
    <w:rsid w:val="006B315B"/>
    <w:rsid w:val="006B37DC"/>
    <w:rsid w:val="006B4F68"/>
    <w:rsid w:val="006C0592"/>
    <w:rsid w:val="006C272E"/>
    <w:rsid w:val="006C5479"/>
    <w:rsid w:val="006C7DB4"/>
    <w:rsid w:val="006D13B5"/>
    <w:rsid w:val="006E12FF"/>
    <w:rsid w:val="006E607E"/>
    <w:rsid w:val="006E723B"/>
    <w:rsid w:val="006F22E0"/>
    <w:rsid w:val="006F2692"/>
    <w:rsid w:val="006F2F3D"/>
    <w:rsid w:val="007029E6"/>
    <w:rsid w:val="00703D88"/>
    <w:rsid w:val="007044D0"/>
    <w:rsid w:val="00706C5D"/>
    <w:rsid w:val="00706FEC"/>
    <w:rsid w:val="00710221"/>
    <w:rsid w:val="00713CC9"/>
    <w:rsid w:val="007207E0"/>
    <w:rsid w:val="00723A60"/>
    <w:rsid w:val="0072489D"/>
    <w:rsid w:val="00726B80"/>
    <w:rsid w:val="00732922"/>
    <w:rsid w:val="00737977"/>
    <w:rsid w:val="00746CEE"/>
    <w:rsid w:val="0075162E"/>
    <w:rsid w:val="00751C0D"/>
    <w:rsid w:val="00754034"/>
    <w:rsid w:val="00756556"/>
    <w:rsid w:val="007568CB"/>
    <w:rsid w:val="00756D79"/>
    <w:rsid w:val="007618C4"/>
    <w:rsid w:val="00767980"/>
    <w:rsid w:val="00770B19"/>
    <w:rsid w:val="0077463F"/>
    <w:rsid w:val="007836EA"/>
    <w:rsid w:val="00783E52"/>
    <w:rsid w:val="00784CDA"/>
    <w:rsid w:val="00787AC2"/>
    <w:rsid w:val="007906C4"/>
    <w:rsid w:val="007928DC"/>
    <w:rsid w:val="007940EA"/>
    <w:rsid w:val="007967E8"/>
    <w:rsid w:val="007A02FF"/>
    <w:rsid w:val="007A2170"/>
    <w:rsid w:val="007A22BF"/>
    <w:rsid w:val="007A3323"/>
    <w:rsid w:val="007B0D39"/>
    <w:rsid w:val="007B111E"/>
    <w:rsid w:val="007B5576"/>
    <w:rsid w:val="007B72B8"/>
    <w:rsid w:val="007B7A58"/>
    <w:rsid w:val="007C21B5"/>
    <w:rsid w:val="007C5F79"/>
    <w:rsid w:val="007D5766"/>
    <w:rsid w:val="007E18B7"/>
    <w:rsid w:val="007E4BD2"/>
    <w:rsid w:val="007E50BC"/>
    <w:rsid w:val="007E50E4"/>
    <w:rsid w:val="007F19EB"/>
    <w:rsid w:val="00800D6D"/>
    <w:rsid w:val="00801393"/>
    <w:rsid w:val="00801450"/>
    <w:rsid w:val="008016D3"/>
    <w:rsid w:val="008025EA"/>
    <w:rsid w:val="00802C50"/>
    <w:rsid w:val="00802F88"/>
    <w:rsid w:val="0081293E"/>
    <w:rsid w:val="00815465"/>
    <w:rsid w:val="00817E9A"/>
    <w:rsid w:val="008202F4"/>
    <w:rsid w:val="00823113"/>
    <w:rsid w:val="008306BD"/>
    <w:rsid w:val="00831A80"/>
    <w:rsid w:val="00833743"/>
    <w:rsid w:val="00833E66"/>
    <w:rsid w:val="008340A4"/>
    <w:rsid w:val="00842337"/>
    <w:rsid w:val="00845EDB"/>
    <w:rsid w:val="008569CE"/>
    <w:rsid w:val="0086012E"/>
    <w:rsid w:val="00863953"/>
    <w:rsid w:val="00864CD7"/>
    <w:rsid w:val="0087135F"/>
    <w:rsid w:val="00872CB8"/>
    <w:rsid w:val="00872D94"/>
    <w:rsid w:val="00876025"/>
    <w:rsid w:val="00880364"/>
    <w:rsid w:val="00886794"/>
    <w:rsid w:val="00891592"/>
    <w:rsid w:val="00891E9E"/>
    <w:rsid w:val="008930C2"/>
    <w:rsid w:val="00894EF9"/>
    <w:rsid w:val="00895351"/>
    <w:rsid w:val="00895938"/>
    <w:rsid w:val="008A1B32"/>
    <w:rsid w:val="008A2F68"/>
    <w:rsid w:val="008A4CDF"/>
    <w:rsid w:val="008B240C"/>
    <w:rsid w:val="008B30F2"/>
    <w:rsid w:val="008B4FA6"/>
    <w:rsid w:val="008B5282"/>
    <w:rsid w:val="008B6ECE"/>
    <w:rsid w:val="008B7C17"/>
    <w:rsid w:val="008C1A50"/>
    <w:rsid w:val="008C1CDA"/>
    <w:rsid w:val="008C2D01"/>
    <w:rsid w:val="008C40E6"/>
    <w:rsid w:val="008C6507"/>
    <w:rsid w:val="008D0F7A"/>
    <w:rsid w:val="008D6590"/>
    <w:rsid w:val="008D68E4"/>
    <w:rsid w:val="008E0506"/>
    <w:rsid w:val="008E0CFF"/>
    <w:rsid w:val="008E5D6B"/>
    <w:rsid w:val="008E76F0"/>
    <w:rsid w:val="008F0A89"/>
    <w:rsid w:val="008F15FE"/>
    <w:rsid w:val="008F2D29"/>
    <w:rsid w:val="008F5187"/>
    <w:rsid w:val="008F60D8"/>
    <w:rsid w:val="0090025A"/>
    <w:rsid w:val="00902727"/>
    <w:rsid w:val="0090312B"/>
    <w:rsid w:val="0090531C"/>
    <w:rsid w:val="009063D0"/>
    <w:rsid w:val="00911969"/>
    <w:rsid w:val="00912F62"/>
    <w:rsid w:val="0091477F"/>
    <w:rsid w:val="0091736D"/>
    <w:rsid w:val="0092004D"/>
    <w:rsid w:val="0092238F"/>
    <w:rsid w:val="0092640C"/>
    <w:rsid w:val="0093037A"/>
    <w:rsid w:val="0093482C"/>
    <w:rsid w:val="00934DEE"/>
    <w:rsid w:val="009364F9"/>
    <w:rsid w:val="009400F5"/>
    <w:rsid w:val="0094154D"/>
    <w:rsid w:val="009465B5"/>
    <w:rsid w:val="0095101F"/>
    <w:rsid w:val="0095155F"/>
    <w:rsid w:val="0095244B"/>
    <w:rsid w:val="00954429"/>
    <w:rsid w:val="009563CE"/>
    <w:rsid w:val="00962536"/>
    <w:rsid w:val="009706C2"/>
    <w:rsid w:val="0097213D"/>
    <w:rsid w:val="00972276"/>
    <w:rsid w:val="00973235"/>
    <w:rsid w:val="00976328"/>
    <w:rsid w:val="00976378"/>
    <w:rsid w:val="0097680D"/>
    <w:rsid w:val="00982438"/>
    <w:rsid w:val="0098404C"/>
    <w:rsid w:val="00985283"/>
    <w:rsid w:val="009858BF"/>
    <w:rsid w:val="0099583D"/>
    <w:rsid w:val="00995992"/>
    <w:rsid w:val="00996CC9"/>
    <w:rsid w:val="00997A70"/>
    <w:rsid w:val="009A024A"/>
    <w:rsid w:val="009A03E5"/>
    <w:rsid w:val="009A0F3B"/>
    <w:rsid w:val="009A1BB4"/>
    <w:rsid w:val="009A2628"/>
    <w:rsid w:val="009A3200"/>
    <w:rsid w:val="009B0897"/>
    <w:rsid w:val="009B0FFD"/>
    <w:rsid w:val="009B7BD9"/>
    <w:rsid w:val="009C4E04"/>
    <w:rsid w:val="009C65DD"/>
    <w:rsid w:val="009C7DD5"/>
    <w:rsid w:val="009E227D"/>
    <w:rsid w:val="009E35D6"/>
    <w:rsid w:val="009E5019"/>
    <w:rsid w:val="009E72C4"/>
    <w:rsid w:val="009F2B61"/>
    <w:rsid w:val="009F3C64"/>
    <w:rsid w:val="00A04F1B"/>
    <w:rsid w:val="00A0501B"/>
    <w:rsid w:val="00A06409"/>
    <w:rsid w:val="00A11A27"/>
    <w:rsid w:val="00A14947"/>
    <w:rsid w:val="00A203CA"/>
    <w:rsid w:val="00A32A83"/>
    <w:rsid w:val="00A32F74"/>
    <w:rsid w:val="00A34444"/>
    <w:rsid w:val="00A368DB"/>
    <w:rsid w:val="00A419CA"/>
    <w:rsid w:val="00A423AA"/>
    <w:rsid w:val="00A42598"/>
    <w:rsid w:val="00A429ED"/>
    <w:rsid w:val="00A44B14"/>
    <w:rsid w:val="00A4642C"/>
    <w:rsid w:val="00A53EC6"/>
    <w:rsid w:val="00A545ED"/>
    <w:rsid w:val="00A55C0F"/>
    <w:rsid w:val="00A642A5"/>
    <w:rsid w:val="00A645E0"/>
    <w:rsid w:val="00A77E1B"/>
    <w:rsid w:val="00A8713F"/>
    <w:rsid w:val="00A9011D"/>
    <w:rsid w:val="00A90BA1"/>
    <w:rsid w:val="00A97A9A"/>
    <w:rsid w:val="00AA0671"/>
    <w:rsid w:val="00AA2531"/>
    <w:rsid w:val="00AA2A63"/>
    <w:rsid w:val="00AA2A8B"/>
    <w:rsid w:val="00AA4011"/>
    <w:rsid w:val="00AA7AA1"/>
    <w:rsid w:val="00AA7EFF"/>
    <w:rsid w:val="00AB1E09"/>
    <w:rsid w:val="00AB5330"/>
    <w:rsid w:val="00AB6BEB"/>
    <w:rsid w:val="00AB7747"/>
    <w:rsid w:val="00AC14CE"/>
    <w:rsid w:val="00AC2A56"/>
    <w:rsid w:val="00AC4951"/>
    <w:rsid w:val="00AC4B06"/>
    <w:rsid w:val="00AC6229"/>
    <w:rsid w:val="00AC7B25"/>
    <w:rsid w:val="00AD055E"/>
    <w:rsid w:val="00AD0E43"/>
    <w:rsid w:val="00AD187C"/>
    <w:rsid w:val="00AD4734"/>
    <w:rsid w:val="00AD47A7"/>
    <w:rsid w:val="00AD51BD"/>
    <w:rsid w:val="00AD7AD4"/>
    <w:rsid w:val="00AE0C01"/>
    <w:rsid w:val="00AE2907"/>
    <w:rsid w:val="00AE4581"/>
    <w:rsid w:val="00AE6A57"/>
    <w:rsid w:val="00AF0CBF"/>
    <w:rsid w:val="00AF236E"/>
    <w:rsid w:val="00AF257F"/>
    <w:rsid w:val="00AF33CF"/>
    <w:rsid w:val="00AF4D50"/>
    <w:rsid w:val="00AF5C89"/>
    <w:rsid w:val="00AF6179"/>
    <w:rsid w:val="00AF7D77"/>
    <w:rsid w:val="00B0003A"/>
    <w:rsid w:val="00B02D5D"/>
    <w:rsid w:val="00B03654"/>
    <w:rsid w:val="00B03DEC"/>
    <w:rsid w:val="00B10EAB"/>
    <w:rsid w:val="00B1148C"/>
    <w:rsid w:val="00B1295A"/>
    <w:rsid w:val="00B146F4"/>
    <w:rsid w:val="00B16673"/>
    <w:rsid w:val="00B20A45"/>
    <w:rsid w:val="00B216EC"/>
    <w:rsid w:val="00B22C5C"/>
    <w:rsid w:val="00B24F30"/>
    <w:rsid w:val="00B31ABF"/>
    <w:rsid w:val="00B33BE3"/>
    <w:rsid w:val="00B35403"/>
    <w:rsid w:val="00B4157D"/>
    <w:rsid w:val="00B47447"/>
    <w:rsid w:val="00B51C53"/>
    <w:rsid w:val="00B53B5D"/>
    <w:rsid w:val="00B6055E"/>
    <w:rsid w:val="00B6317D"/>
    <w:rsid w:val="00B63917"/>
    <w:rsid w:val="00B64653"/>
    <w:rsid w:val="00B66E04"/>
    <w:rsid w:val="00B712B8"/>
    <w:rsid w:val="00B75181"/>
    <w:rsid w:val="00B7723F"/>
    <w:rsid w:val="00B77D2C"/>
    <w:rsid w:val="00B803A5"/>
    <w:rsid w:val="00B80534"/>
    <w:rsid w:val="00B81796"/>
    <w:rsid w:val="00B8433C"/>
    <w:rsid w:val="00B85186"/>
    <w:rsid w:val="00B87491"/>
    <w:rsid w:val="00B87FCF"/>
    <w:rsid w:val="00B915FD"/>
    <w:rsid w:val="00B918CA"/>
    <w:rsid w:val="00B93BF2"/>
    <w:rsid w:val="00B95631"/>
    <w:rsid w:val="00B9662F"/>
    <w:rsid w:val="00BA29E9"/>
    <w:rsid w:val="00BA7142"/>
    <w:rsid w:val="00BB237C"/>
    <w:rsid w:val="00BB41A3"/>
    <w:rsid w:val="00BB5A15"/>
    <w:rsid w:val="00BC2685"/>
    <w:rsid w:val="00BC32DC"/>
    <w:rsid w:val="00BC35B6"/>
    <w:rsid w:val="00BC3EB3"/>
    <w:rsid w:val="00BD10A1"/>
    <w:rsid w:val="00BD1B51"/>
    <w:rsid w:val="00BD4596"/>
    <w:rsid w:val="00BD4D6C"/>
    <w:rsid w:val="00BD6DB9"/>
    <w:rsid w:val="00BE1405"/>
    <w:rsid w:val="00BE312D"/>
    <w:rsid w:val="00BF1C20"/>
    <w:rsid w:val="00BF2AFD"/>
    <w:rsid w:val="00BF747E"/>
    <w:rsid w:val="00C000A4"/>
    <w:rsid w:val="00C04ECC"/>
    <w:rsid w:val="00C0505F"/>
    <w:rsid w:val="00C10578"/>
    <w:rsid w:val="00C135BC"/>
    <w:rsid w:val="00C150B3"/>
    <w:rsid w:val="00C15C95"/>
    <w:rsid w:val="00C20F32"/>
    <w:rsid w:val="00C2596A"/>
    <w:rsid w:val="00C266A1"/>
    <w:rsid w:val="00C267FD"/>
    <w:rsid w:val="00C26B06"/>
    <w:rsid w:val="00C27537"/>
    <w:rsid w:val="00C328FE"/>
    <w:rsid w:val="00C33507"/>
    <w:rsid w:val="00C37292"/>
    <w:rsid w:val="00C37D8E"/>
    <w:rsid w:val="00C4409D"/>
    <w:rsid w:val="00C4419F"/>
    <w:rsid w:val="00C44E72"/>
    <w:rsid w:val="00C456E7"/>
    <w:rsid w:val="00C45A06"/>
    <w:rsid w:val="00C465F5"/>
    <w:rsid w:val="00C47E5B"/>
    <w:rsid w:val="00C56377"/>
    <w:rsid w:val="00C60FEE"/>
    <w:rsid w:val="00C61E4B"/>
    <w:rsid w:val="00C64BFF"/>
    <w:rsid w:val="00C67998"/>
    <w:rsid w:val="00C704E9"/>
    <w:rsid w:val="00C75C68"/>
    <w:rsid w:val="00C763C9"/>
    <w:rsid w:val="00C80057"/>
    <w:rsid w:val="00C81B9D"/>
    <w:rsid w:val="00C82232"/>
    <w:rsid w:val="00C82913"/>
    <w:rsid w:val="00C83548"/>
    <w:rsid w:val="00C84A20"/>
    <w:rsid w:val="00C9459C"/>
    <w:rsid w:val="00C9503C"/>
    <w:rsid w:val="00C972B1"/>
    <w:rsid w:val="00C97EE3"/>
    <w:rsid w:val="00CA0ACD"/>
    <w:rsid w:val="00CA0B21"/>
    <w:rsid w:val="00CA13F3"/>
    <w:rsid w:val="00CA2CCE"/>
    <w:rsid w:val="00CA43FD"/>
    <w:rsid w:val="00CA7EF8"/>
    <w:rsid w:val="00CC255F"/>
    <w:rsid w:val="00CC27DE"/>
    <w:rsid w:val="00CC489B"/>
    <w:rsid w:val="00CC61D5"/>
    <w:rsid w:val="00CC6365"/>
    <w:rsid w:val="00CC651A"/>
    <w:rsid w:val="00CD10E9"/>
    <w:rsid w:val="00CD14CD"/>
    <w:rsid w:val="00CD2943"/>
    <w:rsid w:val="00CD2BCD"/>
    <w:rsid w:val="00CD3177"/>
    <w:rsid w:val="00CD3A4C"/>
    <w:rsid w:val="00CD580E"/>
    <w:rsid w:val="00CD6607"/>
    <w:rsid w:val="00CD6A07"/>
    <w:rsid w:val="00CE10E9"/>
    <w:rsid w:val="00CE1694"/>
    <w:rsid w:val="00CE2910"/>
    <w:rsid w:val="00CE3CF3"/>
    <w:rsid w:val="00CE459F"/>
    <w:rsid w:val="00CE5267"/>
    <w:rsid w:val="00CE5393"/>
    <w:rsid w:val="00CF00B0"/>
    <w:rsid w:val="00CF36BE"/>
    <w:rsid w:val="00CF6000"/>
    <w:rsid w:val="00CF6E07"/>
    <w:rsid w:val="00D003F3"/>
    <w:rsid w:val="00D00481"/>
    <w:rsid w:val="00D0364F"/>
    <w:rsid w:val="00D03FA8"/>
    <w:rsid w:val="00D06834"/>
    <w:rsid w:val="00D06C98"/>
    <w:rsid w:val="00D07CF2"/>
    <w:rsid w:val="00D11AEE"/>
    <w:rsid w:val="00D12104"/>
    <w:rsid w:val="00D1289E"/>
    <w:rsid w:val="00D14081"/>
    <w:rsid w:val="00D21564"/>
    <w:rsid w:val="00D265B3"/>
    <w:rsid w:val="00D26F6F"/>
    <w:rsid w:val="00D308ED"/>
    <w:rsid w:val="00D36D86"/>
    <w:rsid w:val="00D40FF5"/>
    <w:rsid w:val="00D428AA"/>
    <w:rsid w:val="00D43F6D"/>
    <w:rsid w:val="00D46A88"/>
    <w:rsid w:val="00D50785"/>
    <w:rsid w:val="00D50A21"/>
    <w:rsid w:val="00D50A34"/>
    <w:rsid w:val="00D51F4C"/>
    <w:rsid w:val="00D5294B"/>
    <w:rsid w:val="00D5317C"/>
    <w:rsid w:val="00D53EFA"/>
    <w:rsid w:val="00D55872"/>
    <w:rsid w:val="00D62FAB"/>
    <w:rsid w:val="00D67BBE"/>
    <w:rsid w:val="00D71164"/>
    <w:rsid w:val="00D82B47"/>
    <w:rsid w:val="00D877F7"/>
    <w:rsid w:val="00D902B9"/>
    <w:rsid w:val="00D91409"/>
    <w:rsid w:val="00D93F0E"/>
    <w:rsid w:val="00D94A7C"/>
    <w:rsid w:val="00D95896"/>
    <w:rsid w:val="00D963E7"/>
    <w:rsid w:val="00DA6B0A"/>
    <w:rsid w:val="00DA750F"/>
    <w:rsid w:val="00DA7520"/>
    <w:rsid w:val="00DB2983"/>
    <w:rsid w:val="00DB4CFA"/>
    <w:rsid w:val="00DC1257"/>
    <w:rsid w:val="00DC3DC0"/>
    <w:rsid w:val="00DC5B2B"/>
    <w:rsid w:val="00DC7A60"/>
    <w:rsid w:val="00DC7D7B"/>
    <w:rsid w:val="00DD01DD"/>
    <w:rsid w:val="00DD1681"/>
    <w:rsid w:val="00DD318D"/>
    <w:rsid w:val="00DD5368"/>
    <w:rsid w:val="00DD722C"/>
    <w:rsid w:val="00DD7D34"/>
    <w:rsid w:val="00DE03F2"/>
    <w:rsid w:val="00DE383A"/>
    <w:rsid w:val="00DF012A"/>
    <w:rsid w:val="00DF2E12"/>
    <w:rsid w:val="00DF3537"/>
    <w:rsid w:val="00DF4893"/>
    <w:rsid w:val="00DF514A"/>
    <w:rsid w:val="00DF6690"/>
    <w:rsid w:val="00DF6804"/>
    <w:rsid w:val="00E00C80"/>
    <w:rsid w:val="00E0358D"/>
    <w:rsid w:val="00E04323"/>
    <w:rsid w:val="00E06C93"/>
    <w:rsid w:val="00E070A2"/>
    <w:rsid w:val="00E21499"/>
    <w:rsid w:val="00E235DB"/>
    <w:rsid w:val="00E2656A"/>
    <w:rsid w:val="00E26F28"/>
    <w:rsid w:val="00E319F5"/>
    <w:rsid w:val="00E325E5"/>
    <w:rsid w:val="00E3636C"/>
    <w:rsid w:val="00E4101C"/>
    <w:rsid w:val="00E412D0"/>
    <w:rsid w:val="00E46E5E"/>
    <w:rsid w:val="00E50DA8"/>
    <w:rsid w:val="00E5514A"/>
    <w:rsid w:val="00E56322"/>
    <w:rsid w:val="00E60982"/>
    <w:rsid w:val="00E60D52"/>
    <w:rsid w:val="00E61361"/>
    <w:rsid w:val="00E62C62"/>
    <w:rsid w:val="00E64066"/>
    <w:rsid w:val="00E654C1"/>
    <w:rsid w:val="00E65D97"/>
    <w:rsid w:val="00E67B62"/>
    <w:rsid w:val="00E71093"/>
    <w:rsid w:val="00E71A51"/>
    <w:rsid w:val="00E72A5A"/>
    <w:rsid w:val="00E73354"/>
    <w:rsid w:val="00E77CB0"/>
    <w:rsid w:val="00E809FA"/>
    <w:rsid w:val="00E80C9D"/>
    <w:rsid w:val="00E846A1"/>
    <w:rsid w:val="00E9242D"/>
    <w:rsid w:val="00E95807"/>
    <w:rsid w:val="00E96F31"/>
    <w:rsid w:val="00EA33BF"/>
    <w:rsid w:val="00EA49A4"/>
    <w:rsid w:val="00EA5813"/>
    <w:rsid w:val="00EA626E"/>
    <w:rsid w:val="00EA7471"/>
    <w:rsid w:val="00EB5255"/>
    <w:rsid w:val="00EB5C47"/>
    <w:rsid w:val="00EC0A7B"/>
    <w:rsid w:val="00EC7AA1"/>
    <w:rsid w:val="00ED027C"/>
    <w:rsid w:val="00ED0639"/>
    <w:rsid w:val="00ED2057"/>
    <w:rsid w:val="00ED244B"/>
    <w:rsid w:val="00ED3CCA"/>
    <w:rsid w:val="00EE0BD4"/>
    <w:rsid w:val="00EE0E66"/>
    <w:rsid w:val="00EE2F8A"/>
    <w:rsid w:val="00EE67EB"/>
    <w:rsid w:val="00EF1D82"/>
    <w:rsid w:val="00EF202C"/>
    <w:rsid w:val="00EF259C"/>
    <w:rsid w:val="00EF40CC"/>
    <w:rsid w:val="00EF4755"/>
    <w:rsid w:val="00EF7135"/>
    <w:rsid w:val="00F006AA"/>
    <w:rsid w:val="00F02010"/>
    <w:rsid w:val="00F027DB"/>
    <w:rsid w:val="00F02B37"/>
    <w:rsid w:val="00F03503"/>
    <w:rsid w:val="00F10E54"/>
    <w:rsid w:val="00F1461C"/>
    <w:rsid w:val="00F14A7A"/>
    <w:rsid w:val="00F175B1"/>
    <w:rsid w:val="00F21159"/>
    <w:rsid w:val="00F21669"/>
    <w:rsid w:val="00F22985"/>
    <w:rsid w:val="00F33150"/>
    <w:rsid w:val="00F3383E"/>
    <w:rsid w:val="00F361D9"/>
    <w:rsid w:val="00F40A47"/>
    <w:rsid w:val="00F41907"/>
    <w:rsid w:val="00F44D85"/>
    <w:rsid w:val="00F465A7"/>
    <w:rsid w:val="00F46964"/>
    <w:rsid w:val="00F47F9B"/>
    <w:rsid w:val="00F50B7C"/>
    <w:rsid w:val="00F51849"/>
    <w:rsid w:val="00F550E6"/>
    <w:rsid w:val="00F65812"/>
    <w:rsid w:val="00F74345"/>
    <w:rsid w:val="00F76073"/>
    <w:rsid w:val="00F775E9"/>
    <w:rsid w:val="00F80A0A"/>
    <w:rsid w:val="00F82B19"/>
    <w:rsid w:val="00F82C82"/>
    <w:rsid w:val="00F86E1F"/>
    <w:rsid w:val="00F9212D"/>
    <w:rsid w:val="00F93BD0"/>
    <w:rsid w:val="00F95A8E"/>
    <w:rsid w:val="00F965DA"/>
    <w:rsid w:val="00F971DA"/>
    <w:rsid w:val="00FA406A"/>
    <w:rsid w:val="00FA7AD6"/>
    <w:rsid w:val="00FB503A"/>
    <w:rsid w:val="00FB516C"/>
    <w:rsid w:val="00FB51B1"/>
    <w:rsid w:val="00FC079B"/>
    <w:rsid w:val="00FC10D2"/>
    <w:rsid w:val="00FC353D"/>
    <w:rsid w:val="00FD0236"/>
    <w:rsid w:val="00FD18F4"/>
    <w:rsid w:val="00FD54DB"/>
    <w:rsid w:val="00FD619F"/>
    <w:rsid w:val="00FE2243"/>
    <w:rsid w:val="00FE487D"/>
    <w:rsid w:val="00FE564F"/>
    <w:rsid w:val="00FF03D4"/>
    <w:rsid w:val="00FF0B3A"/>
    <w:rsid w:val="00FF0D31"/>
    <w:rsid w:val="00FF6224"/>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B953198"/>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0D3CC0"/>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link w:val="56"/>
    <w:semiHidden/>
    <w:unhideWhenUsed/>
    <w:qFormat/>
    <w:uiPriority w:val="35"/>
    <w:pPr>
      <w:adjustRightInd w:val="0"/>
      <w:snapToGrid w:val="0"/>
      <w:spacing w:line="360" w:lineRule="exact"/>
      <w:ind w:firstLine="200" w:firstLineChars="200"/>
      <w:textAlignment w:val="baseline"/>
    </w:pPr>
    <w:rPr>
      <w:b/>
      <w:kern w:val="0"/>
      <w:szCs w:val="20"/>
    </w:rPr>
  </w:style>
  <w:style w:type="paragraph" w:styleId="4">
    <w:name w:val="Document Map"/>
    <w:basedOn w:val="1"/>
    <w:link w:val="49"/>
    <w:semiHidden/>
    <w:unhideWhenUsed/>
    <w:uiPriority w:val="99"/>
    <w:rPr>
      <w:rFonts w:ascii="宋体"/>
      <w:sz w:val="18"/>
      <w:szCs w:val="18"/>
      <w:lang w:val="zh-CN"/>
    </w:rPr>
  </w:style>
  <w:style w:type="paragraph" w:styleId="5">
    <w:name w:val="annotation text"/>
    <w:basedOn w:val="1"/>
    <w:link w:val="28"/>
    <w:semiHidden/>
    <w:unhideWhenUsed/>
    <w:uiPriority w:val="99"/>
    <w:pPr>
      <w:jc w:val="left"/>
    </w:pPr>
    <w:rPr>
      <w:kern w:val="0"/>
      <w:sz w:val="24"/>
      <w:szCs w:val="20"/>
      <w:lang w:val="zh-CN"/>
    </w:rPr>
  </w:style>
  <w:style w:type="paragraph" w:styleId="6">
    <w:name w:val="Body Text"/>
    <w:basedOn w:val="1"/>
    <w:link w:val="27"/>
    <w:semiHidden/>
    <w:unhideWhenUsed/>
    <w:uiPriority w:val="99"/>
    <w:pPr>
      <w:widowControl/>
      <w:snapToGrid w:val="0"/>
      <w:spacing w:before="60" w:after="160" w:line="259" w:lineRule="auto"/>
      <w:ind w:right="113"/>
    </w:pPr>
    <w:rPr>
      <w:kern w:val="0"/>
      <w:sz w:val="18"/>
      <w:szCs w:val="20"/>
      <w:lang w:val="zh-CN"/>
    </w:rPr>
  </w:style>
  <w:style w:type="paragraph" w:styleId="7">
    <w:name w:val="Body Text Indent"/>
    <w:basedOn w:val="1"/>
    <w:link w:val="36"/>
    <w:semiHidden/>
    <w:unhideWhenUsed/>
    <w:uiPriority w:val="99"/>
    <w:pPr>
      <w:spacing w:after="120"/>
      <w:ind w:left="420" w:leftChars="200"/>
    </w:pPr>
    <w:rPr>
      <w:kern w:val="0"/>
      <w:sz w:val="24"/>
      <w:szCs w:val="20"/>
      <w:lang w:val="zh-CN"/>
    </w:rPr>
  </w:style>
  <w:style w:type="paragraph" w:styleId="8">
    <w:name w:val="Block Text"/>
    <w:basedOn w:val="1"/>
    <w:semiHidden/>
    <w:unhideWhenUsed/>
    <w:uiPriority w:val="99"/>
    <w:pPr>
      <w:spacing w:line="408" w:lineRule="auto"/>
      <w:ind w:left="-113" w:right="-510" w:firstLine="510"/>
    </w:pPr>
    <w:rPr>
      <w:sz w:val="24"/>
    </w:rPr>
  </w:style>
  <w:style w:type="paragraph" w:styleId="9">
    <w:name w:val="Plain Text"/>
    <w:basedOn w:val="1"/>
    <w:link w:val="47"/>
    <w:semiHidden/>
    <w:unhideWhenUsed/>
    <w:uiPriority w:val="99"/>
    <w:rPr>
      <w:rFonts w:ascii="宋体" w:hAnsi="Courier New"/>
      <w:szCs w:val="21"/>
      <w:lang w:val="zh-CN"/>
    </w:rPr>
  </w:style>
  <w:style w:type="paragraph" w:styleId="10">
    <w:name w:val="Date"/>
    <w:basedOn w:val="1"/>
    <w:next w:val="1"/>
    <w:link w:val="23"/>
    <w:semiHidden/>
    <w:unhideWhenUsed/>
    <w:uiPriority w:val="99"/>
    <w:pPr>
      <w:ind w:left="100" w:leftChars="2500"/>
    </w:pPr>
    <w:rPr>
      <w:kern w:val="0"/>
      <w:sz w:val="24"/>
      <w:szCs w:val="20"/>
      <w:lang w:val="zh-CN"/>
    </w:rPr>
  </w:style>
  <w:style w:type="paragraph" w:styleId="11">
    <w:name w:val="Balloon Text"/>
    <w:basedOn w:val="1"/>
    <w:link w:val="32"/>
    <w:semiHidden/>
    <w:unhideWhenUsed/>
    <w:uiPriority w:val="99"/>
    <w:rPr>
      <w:kern w:val="0"/>
      <w:sz w:val="18"/>
      <w:szCs w:val="20"/>
      <w:lang w:val="zh-CN"/>
    </w:rPr>
  </w:style>
  <w:style w:type="paragraph" w:styleId="12">
    <w:name w:val="footer"/>
    <w:basedOn w:val="1"/>
    <w:link w:val="24"/>
    <w:semiHidden/>
    <w:unhideWhenUsed/>
    <w:uiPriority w:val="99"/>
    <w:pPr>
      <w:tabs>
        <w:tab w:val="center" w:pos="4153"/>
        <w:tab w:val="right" w:pos="8306"/>
      </w:tabs>
      <w:snapToGrid w:val="0"/>
      <w:jc w:val="left"/>
    </w:pPr>
    <w:rPr>
      <w:kern w:val="0"/>
      <w:sz w:val="18"/>
      <w:szCs w:val="20"/>
      <w:lang w:val="zh-CN"/>
    </w:rPr>
  </w:style>
  <w:style w:type="paragraph" w:styleId="13">
    <w:name w:val="header"/>
    <w:basedOn w:val="1"/>
    <w:link w:val="34"/>
    <w:semiHidden/>
    <w:unhideWhenUsed/>
    <w:uiPriority w:val="99"/>
    <w:pPr>
      <w:pBdr>
        <w:bottom w:val="single" w:color="auto" w:sz="6" w:space="1"/>
      </w:pBdr>
      <w:tabs>
        <w:tab w:val="center" w:pos="4153"/>
        <w:tab w:val="right" w:pos="8306"/>
      </w:tabs>
      <w:snapToGrid w:val="0"/>
      <w:jc w:val="center"/>
    </w:pPr>
    <w:rPr>
      <w:kern w:val="0"/>
      <w:sz w:val="18"/>
      <w:szCs w:val="20"/>
      <w:lang w:val="zh-CN"/>
    </w:rPr>
  </w:style>
  <w:style w:type="paragraph" w:styleId="14">
    <w:name w:val="Normal (Web)"/>
    <w:basedOn w:val="1"/>
    <w:link w:val="25"/>
    <w:semiHidden/>
    <w:unhideWhenUsed/>
    <w:uiPriority w:val="99"/>
    <w:pPr>
      <w:widowControl/>
      <w:spacing w:before="100" w:beforeAutospacing="1" w:after="100" w:afterAutospacing="1"/>
      <w:jc w:val="left"/>
    </w:pPr>
    <w:rPr>
      <w:rFonts w:ascii="宋体" w:hAnsi="宋体"/>
      <w:kern w:val="0"/>
      <w:sz w:val="24"/>
      <w:szCs w:val="20"/>
      <w:lang w:val="zh-CN"/>
    </w:rPr>
  </w:style>
  <w:style w:type="paragraph" w:styleId="15">
    <w:name w:val="annotation subject"/>
    <w:basedOn w:val="5"/>
    <w:next w:val="5"/>
    <w:link w:val="33"/>
    <w:semiHidden/>
    <w:unhideWhenUsed/>
    <w:uiPriority w:val="99"/>
    <w:rPr>
      <w:b/>
      <w:kern w:val="2"/>
    </w:rPr>
  </w:style>
  <w:style w:type="table" w:styleId="17">
    <w:name w:val="Table Grid"/>
    <w:basedOn w:val="1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semiHidden/>
    <w:unhideWhenUsed/>
    <w:uiPriority w:val="99"/>
  </w:style>
  <w:style w:type="character" w:styleId="20">
    <w:name w:val="Hyperlink"/>
    <w:semiHidden/>
    <w:unhideWhenUsed/>
    <w:uiPriority w:val="99"/>
    <w:rPr>
      <w:color w:val="000000"/>
      <w:u w:val="none"/>
    </w:rPr>
  </w:style>
  <w:style w:type="character" w:styleId="21">
    <w:name w:val="annotation reference"/>
    <w:semiHidden/>
    <w:unhideWhenUsed/>
    <w:uiPriority w:val="99"/>
    <w:rPr>
      <w:sz w:val="21"/>
    </w:rPr>
  </w:style>
  <w:style w:type="character" w:customStyle="1" w:styleId="22">
    <w:name w:val="页脚 字符1"/>
    <w:locked/>
    <w:uiPriority w:val="99"/>
    <w:rPr>
      <w:sz w:val="18"/>
    </w:rPr>
  </w:style>
  <w:style w:type="character" w:customStyle="1" w:styleId="23">
    <w:name w:val="日期 字符1"/>
    <w:link w:val="10"/>
    <w:locked/>
    <w:uiPriority w:val="0"/>
    <w:rPr>
      <w:rFonts w:ascii="Times New Roman" w:hAnsi="Times New Roman" w:eastAsia="宋体"/>
      <w:sz w:val="24"/>
    </w:rPr>
  </w:style>
  <w:style w:type="character" w:customStyle="1" w:styleId="24">
    <w:name w:val="页脚 字符"/>
    <w:basedOn w:val="18"/>
    <w:link w:val="12"/>
    <w:qFormat/>
    <w:uiPriority w:val="99"/>
  </w:style>
  <w:style w:type="character" w:customStyle="1" w:styleId="25">
    <w:name w:val="普通(网站) 字符1"/>
    <w:link w:val="14"/>
    <w:qFormat/>
    <w:locked/>
    <w:uiPriority w:val="0"/>
    <w:rPr>
      <w:rFonts w:ascii="宋体" w:hAnsi="宋体" w:eastAsia="宋体"/>
      <w:sz w:val="24"/>
    </w:rPr>
  </w:style>
  <w:style w:type="character" w:customStyle="1" w:styleId="26">
    <w:name w:val="正文文本 字符1"/>
    <w:semiHidden/>
    <w:uiPriority w:val="0"/>
    <w:rPr>
      <w:rFonts w:ascii="Times New Roman" w:hAnsi="Times New Roman" w:eastAsia="宋体"/>
      <w:sz w:val="24"/>
    </w:rPr>
  </w:style>
  <w:style w:type="character" w:customStyle="1" w:styleId="27">
    <w:name w:val="正文文本 字符"/>
    <w:link w:val="6"/>
    <w:qFormat/>
    <w:locked/>
    <w:uiPriority w:val="0"/>
    <w:rPr>
      <w:sz w:val="18"/>
    </w:rPr>
  </w:style>
  <w:style w:type="character" w:customStyle="1" w:styleId="28">
    <w:name w:val="批注文字 字符"/>
    <w:link w:val="5"/>
    <w:qFormat/>
    <w:locked/>
    <w:uiPriority w:val="0"/>
    <w:rPr>
      <w:rFonts w:ascii="Times New Roman" w:hAnsi="Times New Roman" w:eastAsia="宋体"/>
      <w:sz w:val="24"/>
    </w:rPr>
  </w:style>
  <w:style w:type="character" w:customStyle="1" w:styleId="29">
    <w:name w:val="表格 Char"/>
    <w:link w:val="30"/>
    <w:locked/>
    <w:uiPriority w:val="0"/>
    <w:rPr>
      <w:rFonts w:ascii="宋体"/>
      <w:sz w:val="21"/>
    </w:rPr>
  </w:style>
  <w:style w:type="paragraph" w:customStyle="1" w:styleId="30">
    <w:name w:val="表格"/>
    <w:basedOn w:val="1"/>
    <w:next w:val="1"/>
    <w:link w:val="29"/>
    <w:uiPriority w:val="0"/>
    <w:pPr>
      <w:adjustRightInd w:val="0"/>
      <w:snapToGrid w:val="0"/>
      <w:spacing w:beforeLines="10" w:afterLines="10" w:line="259" w:lineRule="auto"/>
      <w:jc w:val="center"/>
    </w:pPr>
    <w:rPr>
      <w:rFonts w:ascii="宋体"/>
      <w:kern w:val="0"/>
      <w:szCs w:val="20"/>
      <w:lang w:val="zh-CN"/>
    </w:rPr>
  </w:style>
  <w:style w:type="character" w:customStyle="1" w:styleId="31">
    <w:name w:val="日期 字符"/>
    <w:semiHidden/>
    <w:qFormat/>
    <w:uiPriority w:val="0"/>
    <w:rPr>
      <w:rFonts w:ascii="Times New Roman" w:hAnsi="Times New Roman" w:eastAsia="宋体"/>
      <w:sz w:val="24"/>
    </w:rPr>
  </w:style>
  <w:style w:type="character" w:customStyle="1" w:styleId="32">
    <w:name w:val="批注框文本 字符"/>
    <w:link w:val="11"/>
    <w:semiHidden/>
    <w:qFormat/>
    <w:locked/>
    <w:uiPriority w:val="0"/>
    <w:rPr>
      <w:rFonts w:ascii="Times New Roman" w:hAnsi="Times New Roman" w:eastAsia="宋体"/>
      <w:sz w:val="18"/>
    </w:rPr>
  </w:style>
  <w:style w:type="character" w:customStyle="1" w:styleId="33">
    <w:name w:val="批注主题 字符"/>
    <w:link w:val="15"/>
    <w:semiHidden/>
    <w:qFormat/>
    <w:locked/>
    <w:uiPriority w:val="0"/>
    <w:rPr>
      <w:rFonts w:ascii="Times New Roman" w:hAnsi="Times New Roman" w:eastAsia="宋体"/>
      <w:b/>
      <w:kern w:val="2"/>
      <w:sz w:val="24"/>
    </w:rPr>
  </w:style>
  <w:style w:type="character" w:customStyle="1" w:styleId="34">
    <w:name w:val="页眉 字符"/>
    <w:basedOn w:val="18"/>
    <w:link w:val="13"/>
    <w:qFormat/>
    <w:locked/>
    <w:uiPriority w:val="0"/>
    <w:rPr>
      <w:sz w:val="18"/>
    </w:rPr>
  </w:style>
  <w:style w:type="character" w:customStyle="1" w:styleId="35">
    <w:name w:val="批注文字 字符1"/>
    <w:semiHidden/>
    <w:qFormat/>
    <w:uiPriority w:val="0"/>
    <w:rPr>
      <w:rFonts w:ascii="Times New Roman" w:hAnsi="Times New Roman" w:eastAsia="宋体"/>
      <w:sz w:val="24"/>
    </w:rPr>
  </w:style>
  <w:style w:type="character" w:customStyle="1" w:styleId="36">
    <w:name w:val="正文文本缩进 字符"/>
    <w:link w:val="7"/>
    <w:semiHidden/>
    <w:locked/>
    <w:uiPriority w:val="0"/>
    <w:rPr>
      <w:rFonts w:ascii="Times New Roman" w:hAnsi="Times New Roman" w:eastAsia="宋体"/>
      <w:sz w:val="24"/>
    </w:rPr>
  </w:style>
  <w:style w:type="paragraph" w:customStyle="1" w:styleId="3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9">
    <w:name w:val="鸿达表格文字"/>
    <w:basedOn w:val="1"/>
    <w:link w:val="40"/>
    <w:qFormat/>
    <w:uiPriority w:val="0"/>
    <w:pPr>
      <w:contextualSpacing/>
      <w:jc w:val="center"/>
      <w:textAlignment w:val="baseline"/>
    </w:pPr>
    <w:rPr>
      <w:kern w:val="0"/>
      <w:szCs w:val="21"/>
      <w:lang w:val="zh-CN"/>
    </w:rPr>
  </w:style>
  <w:style w:type="character" w:customStyle="1" w:styleId="40">
    <w:name w:val="鸿达表格文字 Char"/>
    <w:link w:val="39"/>
    <w:qFormat/>
    <w:uiPriority w:val="0"/>
    <w:rPr>
      <w:sz w:val="21"/>
      <w:szCs w:val="21"/>
    </w:rPr>
  </w:style>
  <w:style w:type="paragraph" w:customStyle="1" w:styleId="41">
    <w:name w:val="鸿达表格段落"/>
    <w:basedOn w:val="1"/>
    <w:qFormat/>
    <w:uiPriority w:val="0"/>
    <w:pPr>
      <w:adjustRightInd w:val="0"/>
      <w:snapToGrid w:val="0"/>
      <w:ind w:firstLine="200" w:firstLineChars="200"/>
      <w:jc w:val="left"/>
    </w:pPr>
    <w:rPr>
      <w:snapToGrid w:val="0"/>
      <w:kern w:val="0"/>
    </w:rPr>
  </w:style>
  <w:style w:type="paragraph" w:customStyle="1" w:styleId="42">
    <w:name w:val="鸿达表头"/>
    <w:basedOn w:val="1"/>
    <w:link w:val="43"/>
    <w:qFormat/>
    <w:uiPriority w:val="0"/>
    <w:pPr>
      <w:spacing w:beforeLines="100" w:afterLines="50"/>
      <w:ind w:firstLine="100" w:firstLineChars="100"/>
    </w:pPr>
    <w:rPr>
      <w:b/>
      <w:sz w:val="24"/>
      <w:lang w:val="zh-CN"/>
    </w:rPr>
  </w:style>
  <w:style w:type="character" w:customStyle="1" w:styleId="43">
    <w:name w:val="鸿达表头 Char"/>
    <w:link w:val="42"/>
    <w:qFormat/>
    <w:uiPriority w:val="0"/>
    <w:rPr>
      <w:b/>
      <w:kern w:val="2"/>
      <w:sz w:val="24"/>
      <w:szCs w:val="24"/>
    </w:rPr>
  </w:style>
  <w:style w:type="paragraph" w:customStyle="1" w:styleId="44">
    <w:name w:val="鸿达表加粗"/>
    <w:basedOn w:val="1"/>
    <w:link w:val="55"/>
    <w:qFormat/>
    <w:uiPriority w:val="0"/>
    <w:pPr>
      <w:jc w:val="center"/>
    </w:pPr>
    <w:rPr>
      <w:rFonts w:cs="宋体"/>
      <w:b/>
      <w:color w:val="000000"/>
      <w:szCs w:val="20"/>
    </w:rPr>
  </w:style>
  <w:style w:type="character" w:customStyle="1" w:styleId="45">
    <w:name w:val="段落 Char"/>
    <w:link w:val="46"/>
    <w:qFormat/>
    <w:uiPriority w:val="99"/>
    <w:rPr>
      <w:rFonts w:cs="Courier New"/>
      <w:kern w:val="2"/>
      <w:sz w:val="28"/>
      <w:szCs w:val="24"/>
    </w:rPr>
  </w:style>
  <w:style w:type="paragraph" w:customStyle="1" w:styleId="46">
    <w:name w:val="段落"/>
    <w:basedOn w:val="9"/>
    <w:link w:val="45"/>
    <w:qFormat/>
    <w:uiPriority w:val="99"/>
    <w:pPr>
      <w:spacing w:line="500" w:lineRule="exact"/>
      <w:ind w:firstLine="578"/>
    </w:pPr>
    <w:rPr>
      <w:rFonts w:ascii="Times New Roman" w:hAnsi="Times New Roman"/>
      <w:sz w:val="28"/>
      <w:szCs w:val="24"/>
    </w:rPr>
  </w:style>
  <w:style w:type="character" w:customStyle="1" w:styleId="47">
    <w:name w:val="纯文本 字符1"/>
    <w:link w:val="9"/>
    <w:qFormat/>
    <w:uiPriority w:val="0"/>
    <w:rPr>
      <w:rFonts w:ascii="宋体" w:hAnsi="Courier New" w:cs="Courier New"/>
      <w:kern w:val="2"/>
      <w:sz w:val="21"/>
      <w:szCs w:val="21"/>
    </w:rPr>
  </w:style>
  <w:style w:type="paragraph" w:customStyle="1" w:styleId="48">
    <w:name w:val="报告表表格文字"/>
    <w:basedOn w:val="1"/>
    <w:qFormat/>
    <w:uiPriority w:val="0"/>
    <w:pPr>
      <w:autoSpaceDE w:val="0"/>
      <w:autoSpaceDN w:val="0"/>
      <w:adjustRightInd w:val="0"/>
      <w:snapToGrid w:val="0"/>
      <w:jc w:val="center"/>
    </w:pPr>
    <w:rPr>
      <w:color w:val="000000"/>
      <w:kern w:val="0"/>
      <w:szCs w:val="21"/>
    </w:rPr>
  </w:style>
  <w:style w:type="character" w:customStyle="1" w:styleId="49">
    <w:name w:val="文档结构图 字符"/>
    <w:link w:val="4"/>
    <w:uiPriority w:val="0"/>
    <w:rPr>
      <w:rFonts w:ascii="宋体"/>
      <w:kern w:val="2"/>
      <w:sz w:val="18"/>
      <w:szCs w:val="18"/>
    </w:rPr>
  </w:style>
  <w:style w:type="paragraph" w:customStyle="1" w:styleId="50">
    <w:name w:val="修订1"/>
    <w:hidden/>
    <w:semiHidden/>
    <w:uiPriority w:val="99"/>
    <w:rPr>
      <w:rFonts w:ascii="Times New Roman" w:hAnsi="Times New Roman" w:eastAsia="宋体" w:cs="Times New Roman"/>
      <w:kern w:val="2"/>
      <w:sz w:val="21"/>
      <w:szCs w:val="24"/>
      <w:lang w:val="en-US" w:eastAsia="zh-CN" w:bidi="ar-SA"/>
    </w:rPr>
  </w:style>
  <w:style w:type="character" w:customStyle="1" w:styleId="51">
    <w:name w:val="纯文本 字符"/>
    <w:semiHidden/>
    <w:qFormat/>
    <w:uiPriority w:val="0"/>
    <w:rPr>
      <w:rFonts w:ascii="宋体" w:hAnsi="宋体" w:cs="宋体"/>
      <w:sz w:val="24"/>
    </w:rPr>
  </w:style>
  <w:style w:type="paragraph" w:customStyle="1" w:styleId="52">
    <w:name w:val="普通(网站)1"/>
    <w:basedOn w:val="1"/>
    <w:uiPriority w:val="0"/>
    <w:pPr>
      <w:widowControl/>
      <w:spacing w:before="100" w:beforeAutospacing="1" w:after="100" w:afterAutospacing="1"/>
      <w:jc w:val="left"/>
    </w:pPr>
    <w:rPr>
      <w:rFonts w:ascii="宋体" w:hAnsi="宋体"/>
      <w:sz w:val="24"/>
      <w:szCs w:val="20"/>
    </w:rPr>
  </w:style>
  <w:style w:type="character" w:customStyle="1" w:styleId="53">
    <w:name w:val="普通(网站) 字符"/>
    <w:locked/>
    <w:uiPriority w:val="0"/>
    <w:rPr>
      <w:rFonts w:ascii="宋体" w:hAnsi="宋体"/>
      <w:sz w:val="24"/>
      <w:lang w:val="zh-CN" w:eastAsia="zh-CN"/>
    </w:rPr>
  </w:style>
  <w:style w:type="paragraph" w:customStyle="1" w:styleId="54">
    <w:name w:val="标题 41"/>
    <w:basedOn w:val="1"/>
    <w:uiPriority w:val="0"/>
    <w:pPr>
      <w:autoSpaceDE w:val="0"/>
      <w:autoSpaceDN w:val="0"/>
      <w:spacing w:before="100" w:beforeAutospacing="1" w:after="100" w:afterAutospacing="1"/>
      <w:ind w:left="228"/>
      <w:jc w:val="left"/>
      <w:outlineLvl w:val="4"/>
    </w:pPr>
    <w:rPr>
      <w:rFonts w:ascii="宋体" w:hAnsi="宋体" w:cs="宋体"/>
      <w:b/>
      <w:bCs/>
      <w:kern w:val="0"/>
      <w:sz w:val="24"/>
    </w:rPr>
  </w:style>
  <w:style w:type="character" w:customStyle="1" w:styleId="55">
    <w:name w:val="鸿达表加粗 字符"/>
    <w:link w:val="44"/>
    <w:uiPriority w:val="0"/>
    <w:rPr>
      <w:rFonts w:cs="宋体"/>
      <w:b/>
      <w:color w:val="000000"/>
      <w:kern w:val="2"/>
      <w:sz w:val="21"/>
    </w:rPr>
  </w:style>
  <w:style w:type="character" w:customStyle="1" w:styleId="56">
    <w:name w:val="题注 字符"/>
    <w:link w:val="3"/>
    <w:qFormat/>
    <w:uiPriority w:val="0"/>
    <w:rPr>
      <w:b/>
      <w:sz w:val="21"/>
    </w:rPr>
  </w:style>
  <w:style w:type="character" w:customStyle="1" w:styleId="57">
    <w:name w:val="页眉 Char"/>
    <w:qFormat/>
    <w:uiPriority w:val="99"/>
    <w:rPr>
      <w:rFonts w:ascii="Calibri" w:hAnsi="Calibri" w:eastAsia="宋体" w:cs="Times New Roman"/>
      <w:sz w:val="18"/>
      <w:szCs w:val="18"/>
      <w:lang w:val="en-US" w:eastAsia="zh-CN" w:bidi="ar-SA"/>
    </w:rPr>
  </w:style>
  <w:style w:type="character" w:customStyle="1" w:styleId="58">
    <w:name w:val="页脚 Char"/>
    <w:qFormat/>
    <w:uiPriority w:val="99"/>
    <w:rPr>
      <w:rFonts w:ascii="Calibri" w:hAnsi="Calibri"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theme" Target="theme/theme1.xml"/><Relationship Id="rId49" Type="http://schemas.openxmlformats.org/officeDocument/2006/relationships/image" Target="media/image39.pn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emf"/><Relationship Id="rId45" Type="http://schemas.openxmlformats.org/officeDocument/2006/relationships/oleObject" Target="embeddings/Microsoft_Visio_2003-2010___5.vsd"/><Relationship Id="rId44" Type="http://schemas.openxmlformats.org/officeDocument/2006/relationships/image" Target="media/image35.emf"/><Relationship Id="rId43" Type="http://schemas.openxmlformats.org/officeDocument/2006/relationships/oleObject" Target="embeddings/Microsoft_Visio_2003-2010___4.vsd"/><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emf"/><Relationship Id="rId17" Type="http://schemas.openxmlformats.org/officeDocument/2006/relationships/oleObject" Target="embeddings/Microsoft_Visio_2003-2010___3.vsd"/><Relationship Id="rId16" Type="http://schemas.openxmlformats.org/officeDocument/2006/relationships/image" Target="media/image9.emf"/><Relationship Id="rId15" Type="http://schemas.openxmlformats.org/officeDocument/2006/relationships/oleObject" Target="embeddings/Microsoft_Visio_2003-2010___2.vsd"/><Relationship Id="rId14" Type="http://schemas.openxmlformats.org/officeDocument/2006/relationships/image" Target="media/image8.emf"/><Relationship Id="rId13" Type="http://schemas.openxmlformats.org/officeDocument/2006/relationships/oleObject" Target="embeddings/Microsoft_Visio_2003-2010___1.vsd"/><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1"/>
    <customShpInfo spid="_x0000_s1032"/>
    <customShpInfo spid="_x0000_s1033"/>
    <customShpInfo spid="_x0000_s1034"/>
    <customShpInfo spid="_x0000_s1035"/>
    <customShpInfo spid="_x0000_s1030"/>
    <customShpInfo spid="_x0000_s103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854D9E-C145-435E-A870-E092CB2ECD71}">
  <ds:schemaRefs/>
</ds:datastoreItem>
</file>

<file path=docProps/app.xml><?xml version="1.0" encoding="utf-8"?>
<Properties xmlns="http://schemas.openxmlformats.org/officeDocument/2006/extended-properties" xmlns:vt="http://schemas.openxmlformats.org/officeDocument/2006/docPropsVTypes">
  <Template>wdzx97</Template>
  <Company>China</Company>
  <Pages>75</Pages>
  <Words>31059</Words>
  <Characters>35890</Characters>
  <Lines>289</Lines>
  <Paragraphs>81</Paragraphs>
  <TotalTime>1</TotalTime>
  <ScaleCrop>false</ScaleCrop>
  <LinksUpToDate>false</LinksUpToDate>
  <CharactersWithSpaces>36775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2022-05-19T07:45:00Z</dcterms:created>
  <dc:creator>ltqiaoxiaoru</dc:creator>
  <cp:lastModifiedBy>未定义</cp:lastModifiedBy>
  <cp:lastPrinted>2020-12-29T02:43:00Z</cp:lastPrinted>
  <dcterms:modified xsi:type="dcterms:W3CDTF">2022-11-08T01:23:16Z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AD67ACB4882B4D27B0E47A62F79AB3D8</vt:lpwstr>
  </property>
</Properties>
</file>