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66" w:firstLineChars="300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获嘉县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>农业农村局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52"/>
          <w:szCs w:val="52"/>
        </w:rPr>
        <w:t xml:space="preserve">      </w:t>
      </w: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获嘉县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>财</w:t>
      </w:r>
      <w:r>
        <w:rPr>
          <w:rFonts w:ascii="仿宋" w:hAnsi="仿宋" w:eastAsia="仿宋" w:cs="仿宋"/>
          <w:b/>
          <w:bCs/>
          <w:sz w:val="52"/>
          <w:szCs w:val="52"/>
        </w:rPr>
        <w:t xml:space="preserve"> 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>政</w:t>
      </w:r>
      <w:r>
        <w:rPr>
          <w:rFonts w:ascii="仿宋" w:hAnsi="仿宋" w:eastAsia="仿宋" w:cs="仿宋"/>
          <w:b/>
          <w:bCs/>
          <w:sz w:val="52"/>
          <w:szCs w:val="52"/>
        </w:rPr>
        <w:t xml:space="preserve">  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>局</w:t>
      </w:r>
      <w:r>
        <w:rPr>
          <w:rFonts w:ascii="仿宋" w:hAnsi="仿宋" w:eastAsia="仿宋" w:cs="仿宋"/>
          <w:b/>
          <w:bCs/>
          <w:sz w:val="52"/>
          <w:szCs w:val="52"/>
        </w:rPr>
        <w:t xml:space="preserve">   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>文件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获</w:t>
      </w:r>
      <w:r>
        <w:rPr>
          <w:rFonts w:hint="eastAsia" w:ascii="仿宋" w:hAnsi="仿宋" w:eastAsia="仿宋" w:cs="仿宋"/>
          <w:sz w:val="32"/>
          <w:szCs w:val="32"/>
        </w:rPr>
        <w:t>农【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8  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jc w:val="center"/>
        <w:rPr>
          <w:rFonts w:hint="eastAsia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获嘉县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农业农村局</w:t>
      </w:r>
      <w:r>
        <w:rPr>
          <w:rFonts w:ascii="仿宋" w:hAnsi="仿宋" w:eastAsia="仿宋" w:cs="仿宋"/>
          <w:b/>
          <w:bCs/>
          <w:sz w:val="36"/>
          <w:szCs w:val="36"/>
        </w:rPr>
        <w:t xml:space="preserve">  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获嘉县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财政局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关于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印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发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获嘉县2022年实际种粮农民一次性补贴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工作实施方案的通知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各乡镇人民政府：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贯彻党中央、国务院决策部署，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应对农资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价格上涨，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保障种粮农民合法收益，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河南省财政厅 河南省农业农村厅关于下达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实际种粮农民一次性补贴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资金的预算通知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 》(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财水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〕1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号)要求，经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政府同意，制定《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获嘉县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年实际种粮农民一次性补贴工作实施方案》，现印发给你们，请遵照执行。各乡镇要加强组织领导，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直相关单位做好紧密配合，认真细致地开展工作，确保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10前</w:t>
      </w:r>
      <w:r>
        <w:rPr>
          <w:rFonts w:hint="eastAsia" w:ascii="仿宋" w:hAnsi="仿宋" w:eastAsia="仿宋" w:cs="仿宋"/>
          <w:sz w:val="32"/>
          <w:szCs w:val="32"/>
        </w:rPr>
        <w:t>将补贴资金兑付到实际种粮农民手中。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获嘉县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年实际种粮农民一次性补贴工作实施方案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获嘉县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农业农村局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获嘉县财政局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960" w:firstLineChars="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2022年3月22日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获嘉县</w:t>
      </w:r>
      <w:r>
        <w:rPr>
          <w:rFonts w:hint="eastAsia" w:ascii="宋体" w:hAnsi="宋体" w:eastAsia="宋体" w:cs="宋体"/>
          <w:sz w:val="44"/>
          <w:szCs w:val="44"/>
        </w:rPr>
        <w:t>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sz w:val="44"/>
          <w:szCs w:val="44"/>
        </w:rPr>
        <w:t>年实际种粮农民一次性补贴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工作实施方案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为切实做好实际种粮农民一次性补贴政策落实、资金兑付工作，结合我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实际，制定本方案。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补贴对象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一次性补贴发放对象为实际种粮农民，具体包括利用自有承包地种粮的农民，以及流转土地种粮的大户、家庭农场、农民合作社、农业企业等新型农业经营主体。对于开展粮食耕种收全程社会化服务的个人和组织，可根据服务双方合同（协议）约定，由各乡镇因地制宜，结合实际确定补贴发放对象，原则上应补给承担农资价格上涨成本的生产者。对于流转土地种粮的个人和组织，根据签订的流转合同(协议)，确定补贴发放对象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农户将自己承包地流转他人的，签订的流转合同面积不能超过当年领取耕地地力保护补贴面积。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二、补贴资金的管理。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此次资金通过粮食风险基金专户下达，财政部门要与中国农业发展银行分支机构做好衔接，及时兑付资金，不误农时。全县区域内实行统一的补贴标准。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、补贴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依据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。补贴依据为水稻、小麦、玉米和大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豆等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粮食作物播种面积，具体由各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结合实际自行确定。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结合资金额度、播种面积等情况综合确定补贴标准，全县区域内实行统一的补贴标准。中国融通资产管理集团有限公司比照当地农户享受一次性补贴政策。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补贴面积的核实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乡镇村委会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要在耕地地力保护补贴发放程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和方式的基础上，因地制宜，结合实际，利用现有相关补贴发放基础数据、粮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作物保险承保数据、农户和新型农业经营主体身份信息等数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精准识别实际种粮农民，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对照《2022年获嘉县实际种粮农民一次性补贴清册》（以下简称清册）将补贴对象、身份证、面积、社保卡等事项进行登记。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严格落实补贴公示制度，对补贴发放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册进行公示，公示时间不少于3日，加强对补贴面积的核实。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示期间，要充分听取农民群众的意见，接受群众监督，发现问题及时纠正。经公示无疑义后，汇总上报乡镇政府，乡镇政府负责做好相关事项的核实工作。经核实无疑以后，由乡镇政府负责人签字加盖公章后，上报县级农业农村主管部门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277"/>
        </w:tabs>
        <w:bidi w:val="0"/>
        <w:spacing w:before="0" w:after="0" w:line="623" w:lineRule="exact"/>
        <w:ind w:left="0" w:right="0" w:firstLine="66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补贴资金的兑付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。采取直接发放补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或协商减少地租等方式，及时将补贴资金发放到实际种粮农民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中，使实际种粮农民真正受益，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直接兑付到人到户的补贴资金通过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“一卡通”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集中发放。</w:t>
      </w:r>
      <w:r>
        <w:rPr>
          <w:rFonts w:hint="eastAsia" w:eastAsia="仿宋_GB2312"/>
          <w:color w:val="000000"/>
          <w:spacing w:val="0"/>
          <w:w w:val="100"/>
          <w:position w:val="0"/>
          <w:lang w:val="en-US" w:eastAsia="zh-CN"/>
        </w:rPr>
        <w:t>各乡镇村委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应提前通知补贴对象（户主）准备好个人社保卡并激活社保卡银行账户，精准采集补贴对象姓名、身份证号、 社保卡银行账号等基础信息，具体发放流程按照《河南省惠 民惠农财政补贴资金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“一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卡通”发放管理操作规范（试行）》 的相关规定执行。补贴对象为新型农业经营主体的，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各乡镇村委会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应提前通知补贴对象准备好银行账户等信息，做好信息采集，确保补贴资金顺利发放到位。县级财政部门按照农业农村部门汇总确认后的补贴清册，会同承办金融机构将补贴资金存入补贴对象的银行账户。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六、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(一)加强组织领导。及时落实政策、兑付补贴资金，是保障农民种粮收益，稳定种粮农民收入的重要举措。各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乡镇、县直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关部门要统一思想，高度重视，加强领导，精心组织，合理分工，明确责任，密切配合，不折不扣落实补贴政策。县级农业农村部门负责编制实施方案、核实补贴面积、监管实施过程等工作，并做好补贴信息的归集、整理、存档。县级财政部门负责拨付补贴资金，检查补贴资金发放兑付工作进展情况，配合县级农业农村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制定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方案等。农业发展银行要做好资金调度衔接，确保补贴资金供应。承担补贴资金兑付的金融机构要提高工作效率和服务质量，方便农户存取补贴资金。乡镇政府负责本辖区内补贴工作的具体组织实施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(二)规范发放流程。各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制定补贴审核、发放、公开公示等环节的具体操作规范，通过事前现场抽查审核、事中随机抽查、事后专项核查、大数据辅助核对等，强化补贴资金的审核和监管。严格落实补贴公开公示要求，补贴到户的发放情况应在本村(农场)进行公示，接受社会和群众监督，提高资金使用的透明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三）强化资金监管。各乡镇要进一步强化管理，加大监管力度，及时发现并纠正补贴发放中存在的问题，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对于骗取、套取、挤占、挪用或违规发放等行为，依法依规严肃处理。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)做好政策宣传。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向种粮农民发放一次性补贴事关农民群众切身利益，涉及面广，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要高度重视，做好政策宣传和解读，重点明确此次补贴为一次性补贴，补贴对象为实际种植粮食的生产者，补贴目的为稳定农民收入。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要引导乡村干部，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准确把握补贴的政策目标和管理要求。</w:t>
      </w:r>
    </w:p>
    <w:sectPr>
      <w:pgSz w:w="11906" w:h="16838"/>
      <w:pgMar w:top="1440" w:right="1746" w:bottom="1440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64996D"/>
    <w:multiLevelType w:val="singleLevel"/>
    <w:tmpl w:val="516499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NzA1ODk5ODJlNTJhNjZjZjAwY2ViZDQyZWIwNDIifQ=="/>
  </w:docVars>
  <w:rsids>
    <w:rsidRoot w:val="317F1F31"/>
    <w:rsid w:val="070733E9"/>
    <w:rsid w:val="177A4464"/>
    <w:rsid w:val="317F1F31"/>
    <w:rsid w:val="5A432725"/>
    <w:rsid w:val="5DB41AB0"/>
    <w:rsid w:val="6051496F"/>
    <w:rsid w:val="656348F1"/>
    <w:rsid w:val="668F681A"/>
    <w:rsid w:val="6D901856"/>
    <w:rsid w:val="6DAB1B29"/>
    <w:rsid w:val="6F8D7B90"/>
    <w:rsid w:val="739A7409"/>
    <w:rsid w:val="7A5A7126"/>
    <w:rsid w:val="7B1E1FA5"/>
    <w:rsid w:val="7DB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2073</Words>
  <Characters>2100</Characters>
  <Lines>0</Lines>
  <Paragraphs>0</Paragraphs>
  <TotalTime>6</TotalTime>
  <ScaleCrop>false</ScaleCrop>
  <LinksUpToDate>false</LinksUpToDate>
  <CharactersWithSpaces>2163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2021-07-09T01:12:00Z</dcterms:created>
  <dc:creator>赵颖</dc:creator>
  <cp:lastModifiedBy>赵颖</cp:lastModifiedBy>
  <dcterms:modified xsi:type="dcterms:W3CDTF">2022-06-13T02:57:42Z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2C77A5CB28D6415AB74948FE179FDB10</vt:lpwstr>
  </property>
</Properties>
</file>