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0"/>
        </w:tabs>
        <w:rPr>
          <w:rFonts w:ascii="仿宋_GB2312" w:eastAsia="仿宋_GB2312"/>
          <w:sz w:val="32"/>
          <w:szCs w:val="20"/>
        </w:rPr>
      </w:pPr>
    </w:p>
    <w:p>
      <w:pPr>
        <w:tabs>
          <w:tab w:val="left" w:pos="6750"/>
        </w:tabs>
        <w:rPr>
          <w:rFonts w:hint="eastAsia" w:ascii="仿宋_GB2312" w:eastAsia="仿宋_GB2312"/>
          <w:sz w:val="32"/>
          <w:szCs w:val="20"/>
        </w:rPr>
      </w:pPr>
      <w:r>
        <w:rPr>
          <w:rFonts w:ascii="仿宋_GB2312" w:eastAsia="仿宋_GB231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198120</wp:posOffset>
                </wp:positionV>
                <wp:extent cx="4343400" cy="1863725"/>
                <wp:effectExtent l="0" t="0" r="0" b="31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16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w w:val="50"/>
                                <w:sz w:val="112"/>
                                <w:szCs w:val="112"/>
                                <w:lang w:eastAsia="zh-CN"/>
                              </w:rPr>
                              <w:t>获嘉县农业农村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w w:val="50"/>
                                <w:sz w:val="112"/>
                                <w:szCs w:val="112"/>
                              </w:rPr>
                              <w:t>局</w:t>
                            </w:r>
                          </w:p>
                          <w:p>
                            <w:pPr>
                              <w:spacing w:line="116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w w:val="50"/>
                                <w:sz w:val="112"/>
                                <w:szCs w:val="1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w w:val="50"/>
                                <w:sz w:val="112"/>
                                <w:szCs w:val="112"/>
                                <w:lang w:eastAsia="zh-CN"/>
                              </w:rPr>
                              <w:t>获嘉县财政局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25pt;margin-top:15.6pt;height:146.75pt;width:342pt;z-index:251659264;mso-width-relative:page;mso-height-relative:page;" fillcolor="#FFFFFF" filled="t" stroked="f" coordsize="21600,21600" o:gfxdata="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JGxPtcAAAAJAQAADwAAAAAAAAABACAAAAAiAAAAZHJzL2Rvd25yZXYueG1s&#10;UEsBAhQAFAAAAAgAh07iQEqSTsfAAQAAeA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16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112"/>
                          <w:szCs w:val="11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w w:val="50"/>
                          <w:sz w:val="112"/>
                          <w:szCs w:val="112"/>
                          <w:lang w:eastAsia="zh-CN"/>
                        </w:rPr>
                        <w:t>获嘉县农业农村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w w:val="50"/>
                          <w:sz w:val="112"/>
                          <w:szCs w:val="112"/>
                        </w:rPr>
                        <w:t>局</w:t>
                      </w:r>
                    </w:p>
                    <w:p>
                      <w:pPr>
                        <w:spacing w:line="116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w w:val="50"/>
                          <w:sz w:val="112"/>
                          <w:szCs w:val="11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w w:val="50"/>
                          <w:sz w:val="112"/>
                          <w:szCs w:val="112"/>
                          <w:lang w:eastAsia="zh-CN"/>
                        </w:rPr>
                        <w:t>获嘉县财政局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20"/>
        </w:rPr>
        <w:tab/>
      </w:r>
    </w:p>
    <w:p>
      <w:pPr>
        <w:tabs>
          <w:tab w:val="left" w:pos="7190"/>
        </w:tabs>
        <w:rPr>
          <w:rFonts w:hint="eastAsia" w:ascii="黑体" w:eastAsia="黑体"/>
          <w:bCs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ab/>
      </w:r>
      <w:r>
        <w:rPr>
          <w:rFonts w:hint="eastAsia" w:ascii="方正小标宋简体" w:hAnsi="方正小标宋简体" w:eastAsia="方正小标宋简体" w:cs="方正小标宋简体"/>
          <w:bCs/>
          <w:color w:val="FF0000"/>
          <w:w w:val="50"/>
          <w:sz w:val="120"/>
          <w:szCs w:val="20"/>
        </w:rPr>
        <w:t>文件</w:t>
      </w:r>
    </w:p>
    <w:p>
      <w:pPr>
        <w:rPr>
          <w:rFonts w:ascii="仿宋_GB2312" w:eastAsia="仿宋_GB2312"/>
          <w:sz w:val="32"/>
          <w:szCs w:val="20"/>
        </w:rPr>
      </w:pPr>
    </w:p>
    <w:p>
      <w:pPr>
        <w:spacing w:line="560" w:lineRule="exact"/>
        <w:rPr>
          <w:rFonts w:eastAsia="仿宋_GB2312"/>
          <w:sz w:val="32"/>
          <w:szCs w:val="20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获农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637530" cy="0"/>
                <wp:effectExtent l="0" t="9525" r="127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4pt;height:0pt;width:443.9pt;z-index:251660288;mso-width-relative:page;mso-height-relative:page;" filled="f" stroked="t" coordsize="21600,21600" o:gfxdata="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sttK1AAAAAYBAAAPAAAAAAAAAAEAIAAAACIAAABkcnMvZG93bnJldi54bWxQSwEC&#10;FAAUAAAACACHTuJAeZLtNfgBAADlAwAADgAAAAAAAAABACAAAAAj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农业农村局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获嘉县2022年实际种粮农民一次性补贴（第三批）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工作实施方案的通知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各乡（镇）人民政府：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贯彻党中央、国务院决策部署，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应对农资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价格上涨，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保障种粮农民合法收益，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河南省财政厅 河南省农业农村厅关于再次下达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实际种粮农民一次性补贴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资金的预算通知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豫财农水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号)要求，经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政府同意，制定《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获嘉县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年实际种粮农民一次性补贴（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工作实施方案》，现印发给你们，请遵照执行。各乡镇要加强组织领导，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直相关单位做好紧密配合，认真细致地开展工作，确保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将补贴资金兑付到实际种粮农民手中。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获嘉县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年实际种粮农民一次性补贴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工作实施方案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bookmarkStart w:id="0" w:name="_GoBack"/>
      <w:bookmarkEnd w:id="0"/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</w:p>
    <w:p>
      <w:pPr>
        <w:pStyle w:val="2"/>
        <w:rPr>
          <w:rFonts w:hint="eastAsi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获嘉县农业农村局          获嘉县财政局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2022年9月8日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年实际种粮农民一次性补贴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工作实施方案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为切实做好实际种粮农民一次性补贴（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第三批）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资金兑付工作，结合我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一、补贴对象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次性补贴发放对象为实际种粮农民，具体包括利用自有承包地种粮的农民，流转土地种粮的大户、家庭农场、农民合作社、农业企业等新型农业经营主体。对于开展粮食耕种收全程社会化服务的个人和组织，可根据服务双方合同（协议）约定，由各乡镇因地制宜，结合实际确定补贴发放对象，原则上应补给承担农资价格上涨成本的生产者。对于流转土地种粮的个人和组织，根据签订的流转合同(协议)，确定补贴发放对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农户将自己承包地流转他人的，签订的流转合同面积不能超过当年领取耕地地力保护补贴面积。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二、补贴资金的管理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此次资金通过粮食风险基金专户下达，财政部门要与中国农业发展银行分支机构做好衔接，及时兑付资金，不误农时。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三、补贴依据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补贴依据为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秋季实际种植的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水稻、玉米和大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豆等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粮食作物播种面积，具体由各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结合实际自行确定。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结合资金额度、播种面积等情况综合确定补贴标准，全县区域内实行统一的补贴标准。中国融通资产管理集团有限公司比照当地农户享受一次性补贴政策。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四、补贴面积的核实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乡镇村委会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要在耕地地力保护补贴发放程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和方式的基础上，因地制宜，结合实际，利用现有相关补贴发放基础数据、粮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作物保险承保数据、农户和新型农业经营主体身份信息等数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精准识别实际种粮农民，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对照《2022年获嘉县实际种粮农民一次性补贴清册》（以下简称清册）将补贴对象、身份证、面积、社保卡等事项进行登记。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严格落实补贴公示制度，对补贴发放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册进行公示，公示时间不少于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日，加强对补贴面积的核实。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期间，要充分听取农民群众的意见，接受群众监督，发现问题及时纠正。经公示无疑义后，汇总上报乡镇政府，乡镇政府负责做好相关事项的核实工作。经核实无疑以后，由乡镇政府负责人签字加盖公章后，上报县级农业农村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五、补贴资金的兑付</w:t>
      </w:r>
    </w:p>
    <w:p>
      <w:pPr>
        <w:pStyle w:val="5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277"/>
        </w:tabs>
        <w:bidi w:val="0"/>
        <w:spacing w:before="0" w:after="0" w:line="623" w:lineRule="exact"/>
        <w:ind w:right="0" w:righ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及时将补贴资金发放到实际种粮农民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中，使实际种粮农民真正受益，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直接兑付到人到户的补贴资金通过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“一卡通”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集中发放。</w:t>
      </w:r>
      <w:r>
        <w:rPr>
          <w:rFonts w:hint="eastAsia" w:eastAsia="仿宋_GB2312"/>
          <w:color w:val="000000"/>
          <w:spacing w:val="0"/>
          <w:w w:val="100"/>
          <w:position w:val="0"/>
          <w:lang w:val="en-US" w:eastAsia="zh-CN"/>
        </w:rPr>
        <w:t>各乡镇村委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应提前通知补贴对象（户主）准备好个人社保卡并激活社保卡银行账户，精准采集补贴对象姓名、身份证号、 社保卡银行账号等基础信息，具体发放流程按照《河南省惠 民惠农财政补贴资金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“一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卡通”发放管理操作规范（试行）》的相关规定执行。补贴对象为新型农业经营主体的，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各乡镇村委会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应提前通知补贴对象准备好银行账户等信息，做好信息采集，确保补贴资金顺利发放到位。县级财政部门按照农业农村部门汇总确认后的补贴清册，会同承办金融机构将补贴资金存入补贴对象的银行账户。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（一）加强组织领导。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粮食安全党政同责的要求，县、乡人民政府要切实加强统筹协调，建立健全财政、农业农村等部门分工负责的工作机制，层层压实责任，把补贴发放作为一项重要政治任务，各负自责，形成合力，共同抓好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农业农村部门负责编制实施方案、核实补贴面积、监管实施过程等工作，并做好补贴信息的归集、整理、存档。财政部门负责拨付补贴资金，检查补贴资金发放兑付工作进展情况，配合农业农村部门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方案等。农业发展银行要做好资金调度衔接，确保补贴资金供应。承担补贴资金兑付的金融机构要提高工作效率和服务质量，方便农户存取补贴资金。乡镇政府负责本辖区内补贴工作的具体组织实施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（二）规范发放流程。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要制定补贴审核、发放、公开公示等环节的具体操作规范，强化补贴资金的审核和监管。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要充分运用现代化信息技术手段，利用现有相关补贴发放数据基础等精准识别实际种粮者。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严格落实补贴公开公示要求，补贴到户的发放情况应在本村(农场)进行公示，接受社会和群众监督，提高资金使用的透明度。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三）强化资金监管。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各乡镇要进一步强化管理，加大监管力度，及时发现并纠正补贴发放中存在的问题，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对于骗取、套取、挤占、挪用或违规发放等行为，依法依规严肃处理。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（四）做好政策宣传。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向种粮农民发放一次性补贴事关农民群众切身利益，涉及面广，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要高度重视，做好政策宣传和解读，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释放国家重农抓粮的积极信号。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重点明确此次补贴为一次性补贴，补贴对象为实际种植粮食的生产者，补贴目的为稳定农民收入。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要引导乡村干部，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准确把握补贴的政策目标和管理要求。</w:t>
      </w: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ZDdhNGIwYjI3MjY5ZTVlZjg3ZDQ5NTk3MGM3N2EifQ=="/>
  </w:docVars>
  <w:rsids>
    <w:rsidRoot w:val="317F1F31"/>
    <w:rsid w:val="04E13A54"/>
    <w:rsid w:val="06AA107E"/>
    <w:rsid w:val="070733E9"/>
    <w:rsid w:val="087F5A5E"/>
    <w:rsid w:val="0A9340B9"/>
    <w:rsid w:val="0B5036E2"/>
    <w:rsid w:val="0C090176"/>
    <w:rsid w:val="0C1F4066"/>
    <w:rsid w:val="119105B0"/>
    <w:rsid w:val="152F25BA"/>
    <w:rsid w:val="177A4464"/>
    <w:rsid w:val="1E786D7F"/>
    <w:rsid w:val="24101808"/>
    <w:rsid w:val="27ED433A"/>
    <w:rsid w:val="2916166F"/>
    <w:rsid w:val="317F1F31"/>
    <w:rsid w:val="363349C7"/>
    <w:rsid w:val="3B091033"/>
    <w:rsid w:val="3FE200A5"/>
    <w:rsid w:val="46A77952"/>
    <w:rsid w:val="499A5D74"/>
    <w:rsid w:val="507524A6"/>
    <w:rsid w:val="55546EF7"/>
    <w:rsid w:val="5A432725"/>
    <w:rsid w:val="5DB41AB0"/>
    <w:rsid w:val="6051496F"/>
    <w:rsid w:val="656348F1"/>
    <w:rsid w:val="668F681A"/>
    <w:rsid w:val="6D901856"/>
    <w:rsid w:val="6DAB1B29"/>
    <w:rsid w:val="6F8D7B90"/>
    <w:rsid w:val="723B4584"/>
    <w:rsid w:val="739A7409"/>
    <w:rsid w:val="7A5A7126"/>
    <w:rsid w:val="7B1E1FA5"/>
    <w:rsid w:val="7B705F89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2063</Words>
  <Characters>2090</Characters>
  <Lines>0</Lines>
  <Paragraphs>0</Paragraphs>
  <TotalTime>4</TotalTime>
  <ScaleCrop>false</ScaleCrop>
  <LinksUpToDate>false</LinksUpToDate>
  <CharactersWithSpaces>2140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2021-07-09T01:12:00Z</dcterms:created>
  <dc:creator>赵颖</dc:creator>
  <cp:lastModifiedBy>云若轩墨</cp:lastModifiedBy>
  <cp:lastPrinted>2022-09-09T02:03:41Z</cp:lastPrinted>
  <dcterms:modified xsi:type="dcterms:W3CDTF">2022-09-09T02:04:00Z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58B2D317913B495BA1CE41E1CC54B809</vt:lpwstr>
  </property>
</Properties>
</file>