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黑体" w:hAnsi="黑体" w:eastAsia="黑体" w:cs="黑体"/>
          <w:b w:val="0"/>
          <w:bCs w:val="0"/>
          <w:color w:val="343434"/>
          <w:kern w:val="0"/>
          <w:sz w:val="32"/>
          <w:szCs w:val="32"/>
          <w:lang w:eastAsia="zh-CN"/>
        </w:rPr>
      </w:pPr>
      <w:r>
        <w:rPr>
          <w:rFonts w:hint="eastAsia" w:ascii="仿宋" w:hAnsi="仿宋" w:eastAsia="仿宋" w:cs="仿宋"/>
          <w:color w:val="343434"/>
          <w:kern w:val="0"/>
          <w:sz w:val="32"/>
          <w:szCs w:val="32"/>
          <w:lang w:val="en-US" w:eastAsia="zh-CN"/>
        </w:rPr>
        <w:t xml:space="preserve">        </w:t>
      </w:r>
      <w:bookmarkStart w:id="0" w:name="_GoBack"/>
      <w:bookmarkEnd w:id="0"/>
      <w:r>
        <w:rPr>
          <w:rFonts w:hint="eastAsia" w:ascii="黑体" w:hAnsi="黑体" w:eastAsia="黑体" w:cs="黑体"/>
          <w:b w:val="0"/>
          <w:bCs w:val="0"/>
          <w:color w:val="343434"/>
          <w:kern w:val="0"/>
          <w:sz w:val="32"/>
          <w:szCs w:val="32"/>
          <w:lang w:eastAsia="zh-CN"/>
        </w:rPr>
        <w:t>附件</w:t>
      </w:r>
    </w:p>
    <w:p>
      <w:pPr>
        <w:widowControl/>
        <w:spacing w:line="560" w:lineRule="exact"/>
        <w:jc w:val="center"/>
        <w:rPr>
          <w:rFonts w:hint="eastAsia" w:ascii="方正小标宋简体" w:eastAsia="方正小标宋简体" w:cs="宋体" w:hAnsiTheme="majorEastAsia"/>
          <w:color w:val="343434"/>
          <w:kern w:val="0"/>
          <w:sz w:val="44"/>
          <w:szCs w:val="44"/>
          <w:lang w:eastAsia="zh-CN"/>
        </w:rPr>
      </w:pPr>
    </w:p>
    <w:p>
      <w:pPr>
        <w:widowControl/>
        <w:spacing w:line="560" w:lineRule="exact"/>
        <w:jc w:val="center"/>
        <w:rPr>
          <w:rFonts w:hint="eastAsia" w:ascii="方正小标宋简体" w:eastAsia="方正小标宋简体" w:cs="宋体" w:hAnsiTheme="majorEastAsia"/>
          <w:color w:val="343434"/>
          <w:kern w:val="0"/>
          <w:sz w:val="44"/>
          <w:szCs w:val="44"/>
          <w:lang w:eastAsia="zh-CN"/>
        </w:rPr>
      </w:pPr>
      <w:r>
        <w:rPr>
          <w:rFonts w:hint="eastAsia" w:ascii="方正小标宋简体" w:eastAsia="方正小标宋简体" w:cs="宋体" w:hAnsiTheme="majorEastAsia"/>
          <w:color w:val="343434"/>
          <w:kern w:val="0"/>
          <w:sz w:val="44"/>
          <w:szCs w:val="44"/>
          <w:lang w:eastAsia="zh-CN"/>
        </w:rPr>
        <w:t>获嘉县</w:t>
      </w:r>
      <w:r>
        <w:rPr>
          <w:rFonts w:hint="eastAsia" w:ascii="方正小标宋简体" w:eastAsia="方正小标宋简体" w:cs="宋体" w:hAnsiTheme="majorEastAsia"/>
          <w:color w:val="343434"/>
          <w:kern w:val="0"/>
          <w:sz w:val="44"/>
          <w:szCs w:val="44"/>
        </w:rPr>
        <w:t>市场监管领域政府部门随机抽查事项清单</w:t>
      </w:r>
      <w:r>
        <w:rPr>
          <w:rFonts w:hint="eastAsia" w:ascii="方正小标宋简体" w:eastAsia="方正小标宋简体" w:cs="宋体" w:hAnsiTheme="majorEastAsia"/>
          <w:color w:val="343434"/>
          <w:kern w:val="0"/>
          <w:sz w:val="44"/>
          <w:szCs w:val="44"/>
          <w:lang w:eastAsia="zh-CN"/>
        </w:rPr>
        <w:t>（</w:t>
      </w:r>
      <w:r>
        <w:rPr>
          <w:rFonts w:hint="eastAsia" w:ascii="方正小标宋简体" w:eastAsia="方正小标宋简体" w:cs="宋体" w:hAnsiTheme="majorEastAsia"/>
          <w:color w:val="343434"/>
          <w:kern w:val="0"/>
          <w:sz w:val="44"/>
          <w:szCs w:val="44"/>
          <w:lang w:val="en-US" w:eastAsia="zh-CN"/>
        </w:rPr>
        <w:t>2022年版</w:t>
      </w:r>
      <w:r>
        <w:rPr>
          <w:rFonts w:hint="eastAsia" w:ascii="方正小标宋简体" w:eastAsia="方正小标宋简体" w:cs="宋体" w:hAnsiTheme="majorEastAsia"/>
          <w:color w:val="343434"/>
          <w:kern w:val="0"/>
          <w:sz w:val="44"/>
          <w:szCs w:val="44"/>
          <w:lang w:eastAsia="zh-CN"/>
        </w:rPr>
        <w:t>）</w:t>
      </w:r>
    </w:p>
    <w:p>
      <w:pPr>
        <w:widowControl/>
        <w:spacing w:line="560" w:lineRule="exact"/>
        <w:jc w:val="center"/>
        <w:rPr>
          <w:rFonts w:hint="eastAsia" w:ascii="方正小标宋简体" w:eastAsia="方正小标宋简体" w:cs="宋体" w:hAnsiTheme="majorEastAsia"/>
          <w:color w:val="343434"/>
          <w:kern w:val="0"/>
          <w:sz w:val="44"/>
          <w:szCs w:val="44"/>
          <w:lang w:eastAsia="zh-CN"/>
        </w:rPr>
      </w:pPr>
      <w:r>
        <w:rPr>
          <w:rFonts w:hint="eastAsia" w:ascii="方正小标宋简体" w:eastAsia="方正小标宋简体" w:cs="宋体" w:hAnsiTheme="majorEastAsia"/>
          <w:color w:val="343434"/>
          <w:kern w:val="0"/>
          <w:sz w:val="44"/>
          <w:szCs w:val="44"/>
          <w:lang w:eastAsia="zh-CN"/>
        </w:rPr>
        <w:t>（共</w:t>
      </w:r>
      <w:r>
        <w:rPr>
          <w:rFonts w:hint="eastAsia" w:ascii="方正小标宋简体" w:eastAsia="方正小标宋简体" w:cs="宋体" w:hAnsiTheme="majorEastAsia"/>
          <w:color w:val="343434"/>
          <w:kern w:val="0"/>
          <w:sz w:val="44"/>
          <w:szCs w:val="44"/>
          <w:lang w:val="en-US" w:eastAsia="zh-CN"/>
        </w:rPr>
        <w:t>173项</w:t>
      </w:r>
      <w:r>
        <w:rPr>
          <w:rFonts w:hint="eastAsia" w:ascii="方正小标宋简体" w:eastAsia="方正小标宋简体" w:cs="宋体" w:hAnsiTheme="majorEastAsia"/>
          <w:color w:val="343434"/>
          <w:kern w:val="0"/>
          <w:sz w:val="44"/>
          <w:szCs w:val="44"/>
          <w:lang w:eastAsia="zh-CN"/>
        </w:rPr>
        <w:t>）</w:t>
      </w:r>
    </w:p>
    <w:tbl>
      <w:tblPr>
        <w:tblStyle w:val="7"/>
        <w:tblW w:w="14042" w:type="dxa"/>
        <w:jc w:val="center"/>
        <w:tblLayout w:type="fixed"/>
        <w:tblCellMar>
          <w:top w:w="0" w:type="dxa"/>
          <w:left w:w="108" w:type="dxa"/>
          <w:bottom w:w="0" w:type="dxa"/>
          <w:right w:w="108" w:type="dxa"/>
        </w:tblCellMar>
      </w:tblPr>
      <w:tblGrid>
        <w:gridCol w:w="709"/>
        <w:gridCol w:w="1101"/>
        <w:gridCol w:w="2116"/>
        <w:gridCol w:w="4131"/>
        <w:gridCol w:w="1269"/>
        <w:gridCol w:w="1601"/>
        <w:gridCol w:w="1930"/>
        <w:gridCol w:w="1185"/>
      </w:tblGrid>
      <w:tr>
        <w:tblPrEx>
          <w:tblCellMar>
            <w:top w:w="0" w:type="dxa"/>
            <w:left w:w="108" w:type="dxa"/>
            <w:bottom w:w="0" w:type="dxa"/>
            <w:right w:w="108" w:type="dxa"/>
          </w:tblCellMar>
        </w:tblPrEx>
        <w:trPr>
          <w:trHeight w:val="737" w:hRule="atLeast"/>
          <w:tblHeader/>
          <w:jc w:val="center"/>
        </w:trPr>
        <w:tc>
          <w:tcPr>
            <w:tcW w:w="709"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序号</w:t>
            </w:r>
          </w:p>
        </w:tc>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部门</w:t>
            </w:r>
          </w:p>
          <w:p>
            <w:pPr>
              <w:widowControl/>
              <w:spacing w:line="260" w:lineRule="exact"/>
              <w:jc w:val="center"/>
              <w:rPr>
                <w:rFonts w:eastAsia="黑体"/>
                <w:kern w:val="0"/>
                <w:sz w:val="24"/>
              </w:rPr>
            </w:pPr>
            <w:r>
              <w:rPr>
                <w:rFonts w:eastAsia="黑体"/>
                <w:kern w:val="0"/>
                <w:sz w:val="24"/>
              </w:rPr>
              <w:t>名称</w:t>
            </w:r>
          </w:p>
        </w:tc>
        <w:tc>
          <w:tcPr>
            <w:tcW w:w="2116" w:type="dxa"/>
            <w:vMerge w:val="restart"/>
            <w:tcBorders>
              <w:top w:val="single" w:color="auto" w:sz="4" w:space="0"/>
              <w:left w:val="nil"/>
              <w:right w:val="single" w:color="auto" w:sz="4" w:space="0"/>
            </w:tcBorders>
            <w:vAlign w:val="center"/>
          </w:tcPr>
          <w:p>
            <w:pPr>
              <w:widowControl/>
              <w:spacing w:line="260" w:lineRule="exact"/>
              <w:jc w:val="center"/>
              <w:rPr>
                <w:rFonts w:eastAsia="黑体"/>
                <w:kern w:val="0"/>
                <w:sz w:val="24"/>
              </w:rPr>
            </w:pPr>
            <w:r>
              <w:rPr>
                <w:rFonts w:eastAsia="黑体"/>
                <w:kern w:val="0"/>
                <w:sz w:val="24"/>
              </w:rPr>
              <w:t>抽查事项</w:t>
            </w:r>
          </w:p>
          <w:p>
            <w:pPr>
              <w:widowControl/>
              <w:spacing w:line="260" w:lineRule="exact"/>
              <w:jc w:val="center"/>
              <w:rPr>
                <w:rFonts w:eastAsia="黑体"/>
                <w:kern w:val="0"/>
                <w:sz w:val="24"/>
              </w:rPr>
            </w:pPr>
            <w:r>
              <w:rPr>
                <w:rFonts w:eastAsia="黑体"/>
                <w:kern w:val="0"/>
                <w:sz w:val="24"/>
              </w:rPr>
              <w:t>名</w:t>
            </w:r>
            <w:r>
              <w:rPr>
                <w:rFonts w:hint="default" w:eastAsia="黑体"/>
                <w:kern w:val="0"/>
                <w:sz w:val="24"/>
                <w:lang w:val="en"/>
              </w:rPr>
              <w:t xml:space="preserve">    </w:t>
            </w:r>
            <w:r>
              <w:rPr>
                <w:rFonts w:eastAsia="黑体"/>
                <w:kern w:val="0"/>
                <w:sz w:val="24"/>
              </w:rPr>
              <w:t>称</w:t>
            </w:r>
          </w:p>
        </w:tc>
        <w:tc>
          <w:tcPr>
            <w:tcW w:w="4131"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抽查依据</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检查</w:t>
            </w:r>
          </w:p>
          <w:p>
            <w:pPr>
              <w:widowControl/>
              <w:spacing w:line="260" w:lineRule="exact"/>
              <w:jc w:val="center"/>
              <w:rPr>
                <w:rFonts w:eastAsia="黑体"/>
                <w:kern w:val="0"/>
                <w:sz w:val="24"/>
              </w:rPr>
            </w:pPr>
            <w:r>
              <w:rPr>
                <w:rFonts w:eastAsia="黑体"/>
                <w:kern w:val="0"/>
                <w:sz w:val="24"/>
              </w:rPr>
              <w:t>主体</w:t>
            </w:r>
          </w:p>
        </w:tc>
        <w:tc>
          <w:tcPr>
            <w:tcW w:w="16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事项</w:t>
            </w:r>
          </w:p>
          <w:p>
            <w:pPr>
              <w:widowControl/>
              <w:spacing w:line="260" w:lineRule="exact"/>
              <w:jc w:val="center"/>
              <w:rPr>
                <w:rFonts w:eastAsia="黑体"/>
                <w:kern w:val="0"/>
                <w:sz w:val="24"/>
              </w:rPr>
            </w:pPr>
            <w:r>
              <w:rPr>
                <w:rFonts w:eastAsia="黑体"/>
                <w:kern w:val="0"/>
                <w:sz w:val="24"/>
              </w:rPr>
              <w:t>类别</w:t>
            </w:r>
          </w:p>
        </w:tc>
        <w:tc>
          <w:tcPr>
            <w:tcW w:w="19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检查对象</w:t>
            </w:r>
          </w:p>
        </w:tc>
        <w:tc>
          <w:tcPr>
            <w:tcW w:w="1185"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检查</w:t>
            </w:r>
          </w:p>
          <w:p>
            <w:pPr>
              <w:widowControl/>
              <w:spacing w:line="260" w:lineRule="exact"/>
              <w:jc w:val="center"/>
              <w:rPr>
                <w:rFonts w:eastAsia="黑体"/>
                <w:kern w:val="0"/>
                <w:sz w:val="24"/>
              </w:rPr>
            </w:pPr>
            <w:r>
              <w:rPr>
                <w:rFonts w:eastAsia="黑体"/>
                <w:kern w:val="0"/>
                <w:sz w:val="24"/>
              </w:rPr>
              <w:t>方式</w:t>
            </w:r>
          </w:p>
        </w:tc>
      </w:tr>
      <w:tr>
        <w:tblPrEx>
          <w:tblCellMar>
            <w:top w:w="0" w:type="dxa"/>
            <w:left w:w="108" w:type="dxa"/>
            <w:bottom w:w="0" w:type="dxa"/>
            <w:right w:w="108" w:type="dxa"/>
          </w:tblCellMar>
        </w:tblPrEx>
        <w:trPr>
          <w:trHeight w:val="312" w:hRule="atLeast"/>
          <w:tblHeader/>
          <w:jc w:val="center"/>
        </w:trPr>
        <w:tc>
          <w:tcPr>
            <w:tcW w:w="709"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2116" w:type="dxa"/>
            <w:vMerge w:val="continue"/>
            <w:tcBorders>
              <w:left w:val="nil"/>
              <w:bottom w:val="single" w:color="auto" w:sz="4" w:space="0"/>
              <w:right w:val="single" w:color="auto" w:sz="4" w:space="0"/>
            </w:tcBorders>
            <w:vAlign w:val="center"/>
          </w:tcPr>
          <w:p>
            <w:pPr>
              <w:widowControl/>
              <w:spacing w:line="260" w:lineRule="exact"/>
              <w:jc w:val="center"/>
              <w:rPr>
                <w:rFonts w:eastAsia="黑体"/>
                <w:kern w:val="0"/>
                <w:sz w:val="24"/>
              </w:rPr>
            </w:pPr>
          </w:p>
        </w:tc>
        <w:tc>
          <w:tcPr>
            <w:tcW w:w="4131"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185"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r>
      <w:tr>
        <w:tblPrEx>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放射性污染防治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《中华人民共和国放射性污染防治法》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0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水污染防治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《中华人民共和国水污染防治法》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大气污染防治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《中华人民共和国大气污染防治法》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固体废物污染防治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《中华人民共和国固体废物污染环境防治法》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噪声污染防治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《中华人民共和国环境噪声污染防治法》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污染源自动监控设施的检查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《污染源自动监控设施现场监督检查办法》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医疗废物污染防治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《医疗废物管理条例》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危险废物经营单位</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《危险废物经营许可证管理办法》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废弃</w:t>
            </w:r>
            <w:r>
              <w:rPr>
                <w:rFonts w:hint="default" w:ascii="Times New Roman" w:hAnsi="Times New Roman" w:eastAsia="仿宋_GB2312" w:cs="Times New Roman"/>
                <w:color w:val="000000" w:themeColor="text1"/>
                <w:sz w:val="22"/>
                <w:szCs w:val="22"/>
                <w14:textFill>
                  <w14:solidFill>
                    <w14:schemeClr w14:val="tx1"/>
                  </w14:solidFill>
                </w14:textFill>
              </w:rPr>
              <w:t>危险化学品</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处置的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《危险化学品安全管理条例》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新化学物质</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新化学物质环境管理登记办法</w:t>
            </w:r>
            <w:r>
              <w:rPr>
                <w:rFonts w:hint="default" w:ascii="Times New Roman" w:hAnsi="Times New Roman" w:eastAsia="仿宋_GB2312" w:cs="Times New Roman"/>
                <w:color w:val="000000" w:themeColor="text1"/>
                <w:sz w:val="22"/>
                <w:szCs w:val="22"/>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废弃电器电子产品处理活动</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《废弃电器电子产品处理资格许可管理办法》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企业事业单位环境风险防范和环境安全隐患排查治理工作</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《突发环境事件应急管理办法》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3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土壤污染防治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《中华人民共和国土壤污染防治法》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建设项目环境保护设施设计、施工、验收、投入生产或者使用情况，及有关环境影响评价文件确定的其他环境保护措施落实情况</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《中华人民共和国环境影响评价法》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 xml:space="preserve"> 机动车维修经营 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《道路运输车辆技术管理规定》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机动车维修企业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机动车驾驶员培训经营活动的检查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《机动车驾驶员培训管理规定》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机动车驾驶员培训机构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道路客/货运、客/货运站经营活动</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《中华人民共和国道路运输条例》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《道路旅客运输及客运站管理规定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道路客/货运、客/货运站经营企业 </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85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道路客运场站的</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14:textFill>
                  <w14:solidFill>
                    <w14:schemeClr w14:val="tx1"/>
                  </w14:solidFill>
                </w14:textFill>
              </w:rPr>
              <w:t>道路旅客运输及客运站管理规定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道路客运场站企业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9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道路危险货物运</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输的检查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《中华人民共和国道路运输条例》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道路危险货物运输企业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对涉路施工的</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《公路法》《公路安全保护条例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涉路施工企业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对全市交通工程质量、安全的检查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《公路水运工程质量监督管理规定》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《公路水运工程安全生产监督管理办法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公路水运工程建设单位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对交通工程建设勘察、设计、施工监理单位的质量行为的</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《公路水运工程质量监督管理规定》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公路水运工程建设勘察、设计、施工、监理单位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对出租汽车经营活动的检查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《出租汽车驾驶员从业资格管理规定》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《出租汽车经营服务管理规定》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出租车企业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3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对巡游出租汽车经营行为的检查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《出租汽车驾驶员从业资格管理规定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《出租汽车经营服务管理规定》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巡游出租车企业 </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对货运源头单位的监督检查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《河南省治理货物运输车辆超限超载条例》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货运源头单位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中小学生教辅材料管理使用情况的</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《中小学教辅材料管理办法》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w:t>
            </w:r>
            <w:r>
              <w:rPr>
                <w:rFonts w:hint="default" w:ascii="Times New Roman" w:hAnsi="Times New Roman" w:eastAsia="仿宋_GB2312" w:cs="Times New Roman"/>
                <w:color w:val="000000" w:themeColor="text1"/>
                <w:kern w:val="0"/>
                <w:sz w:val="22"/>
                <w:szCs w:val="22"/>
                <w14:textFill>
                  <w14:solidFill>
                    <w14:schemeClr w14:val="tx1"/>
                  </w14:solidFill>
                </w14:textFill>
              </w:rPr>
              <w:t>中小学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中小学课程教材用书选用情况的</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《中小学教材选用管理办法》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w:t>
            </w:r>
            <w:r>
              <w:rPr>
                <w:rFonts w:hint="default" w:ascii="Times New Roman" w:hAnsi="Times New Roman" w:eastAsia="仿宋_GB2312" w:cs="Times New Roman"/>
                <w:color w:val="000000" w:themeColor="text1"/>
                <w:kern w:val="0"/>
                <w:sz w:val="22"/>
                <w:szCs w:val="22"/>
                <w14:textFill>
                  <w14:solidFill>
                    <w14:schemeClr w14:val="tx1"/>
                  </w14:solidFill>
                </w14:textFill>
              </w:rPr>
              <w:t>中小学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学校食堂食品安全情况的</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《食品安全法》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《学校食堂与学生集体用餐卫生管理规定》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w:t>
            </w:r>
            <w:r>
              <w:rPr>
                <w:rFonts w:hint="default" w:ascii="Times New Roman" w:hAnsi="Times New Roman" w:eastAsia="仿宋_GB2312" w:cs="Times New Roman"/>
                <w:color w:val="000000" w:themeColor="text1"/>
                <w:kern w:val="0"/>
                <w:sz w:val="22"/>
                <w:szCs w:val="22"/>
                <w14:textFill>
                  <w14:solidFill>
                    <w14:schemeClr w14:val="tx1"/>
                  </w14:solidFill>
                </w14:textFill>
              </w:rPr>
              <w:t>中小学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2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体育类校外培训机构的检查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河南省体育类校外培训机构设置标准和管理指南（试行）》</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获嘉县体育类校外培训机构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30</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w:t>
            </w:r>
            <w:r>
              <w:rPr>
                <w:rFonts w:hint="default" w:ascii="Times New Roman" w:hAnsi="Times New Roman" w:eastAsia="仿宋_GB2312" w:cs="Times New Roman"/>
                <w:kern w:val="0"/>
                <w:sz w:val="22"/>
                <w:szCs w:val="22"/>
                <w:highlight w:val="none"/>
              </w:rPr>
              <w:t>金融局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担保机构的行政检查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《融资担保公司监督管理条例》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2"/>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w:t>
            </w:r>
            <w:r>
              <w:rPr>
                <w:rFonts w:hint="default" w:ascii="Times New Roman" w:hAnsi="Times New Roman" w:eastAsia="仿宋_GB2312" w:cs="Times New Roman"/>
                <w:kern w:val="0"/>
                <w:sz w:val="22"/>
                <w:szCs w:val="22"/>
                <w:highlight w:val="none"/>
              </w:rPr>
              <w:t>金融局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经省市县三级备案的融资性担保机构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县金融局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典当公司的行政检查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《典当管理办法》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县金融局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持证典当公司</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肥料监督检查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《肥料登记管理办法》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肥料生产经营者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饲料、饲料添加剂监督抽查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《中华人民共和国农产品质量安全法》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《饲料和饲料添加剂管理条例》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饲料、饲料添加剂生产经营企业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农药监督检查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《农药管理条例》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农药生产经营者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种子质量</w:t>
            </w:r>
          </w:p>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《中华人民共和国种子法》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《农作物种子标签管理办法》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《农作物种子质量监督抽查管理办法》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种子生产经营者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5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植物检疫检查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《河南省植物检疫条例》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应实施检疫的植物及植物产品生产、收购、加工、经营、存放、承运、收寄等单位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农产品质量安全监督检查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《中华人民共和国农产品质量安全法》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农产品生产（种养）主体</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兽药质量</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监督检查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《中华人民共和国农产品质量安全法》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《兽药管理条例》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兽药生产、经营企业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生鲜乳质量安全监督检查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《中华人民共和国农产品质量安全法》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《河南省实施&lt;中华人民共和国农产品质量安全法&gt;办法》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《乳品质量安全监督管理条例》</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《河南省畜产品质量安全管理办法》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《生鲜乳生产收购管理办法》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生鲜乳收购站、</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生鲜乳运输车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生猪定点</w:t>
            </w:r>
            <w:r>
              <w:rPr>
                <w:rFonts w:hint="default" w:ascii="Times New Roman" w:hAnsi="Times New Roman" w:eastAsia="仿宋_GB2312" w:cs="Times New Roman"/>
                <w:color w:val="000000" w:themeColor="text1"/>
                <w:kern w:val="0"/>
                <w:sz w:val="22"/>
                <w:szCs w:val="22"/>
                <w14:textFill>
                  <w14:solidFill>
                    <w14:schemeClr w14:val="tx1"/>
                  </w14:solidFill>
                </w14:textFill>
              </w:rPr>
              <w:t>屠宰</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监督抽查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《生猪屠宰管理条例》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生猪屠宰厂（场）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水生野生动物及制品利用</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监督检查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《中华人民共和国野生动物保护法》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《河南省实施〈中华人民共和国野生动物保护法〉办法》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从事水生野生动物特许利用的单位和个人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4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生产经营单位主要负责人、安全管理人员、其他从业人员培训和特种作业人员持证情况的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《特种作业人员安全技术培训考核管理规定》</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《生产经营单位安全培训规定》</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危险化学品生产、经营和存储单位的安全生产</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《危险化学品安全管理条例》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危险化学品生产、经营和存储单位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冶金等工贸行业企业安全生产</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《冶金企业安全生产监督管理规定》</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工贸企业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生产经营单位应急预案</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《生产安全事故应急预案管理办法》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汽车销售的供应商、经销商监督检查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《汽车销售管理办法》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新车销售企业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成品油零售经营企业监督检查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《国务院关于取消和下放一批行政许可事项的决定》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成品油零售经营企业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二手车市场（企业）监督检查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《二手车流通管理办法》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二手车企业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报废机动车回收拆解监督检查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《报废机动车回收管理办法》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报废机动车拆解回收企业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单用途商业预付卡企业监督检查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《单用途商业预付卡管理办法》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单用途商业预付卡发卡企业和售卡企业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0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对外劳务合作经营企业监督检查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《对外劳务合作管理条例》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对外劳务企业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商业特许经营企业监督检查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《商业特许经营管理条例》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商业特许企业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8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外商投资信息报告监督检查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《外商投资信息报告办法》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外商投资企业（机构）及其投资者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书面检查</w:t>
            </w:r>
          </w:p>
        </w:tc>
      </w:tr>
      <w:tr>
        <w:tblPrEx>
          <w:tblCellMar>
            <w:top w:w="0" w:type="dxa"/>
            <w:left w:w="108" w:type="dxa"/>
            <w:bottom w:w="0" w:type="dxa"/>
            <w:right w:w="108" w:type="dxa"/>
          </w:tblCellMar>
        </w:tblPrEx>
        <w:trPr>
          <w:trHeight w:val="14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用人单位遵守劳动用工和社会保险法律、法规情况的检查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《中华人民共和国劳动合同法》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《中华人民共和国社会保险法》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《劳动保障监察条例》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《社会保险费征缴暂行条例》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78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人力资源服务机构检查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《中华人民共和国就业促进法》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《人力资源市场暂行条例》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人力资源服务机构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民办培训机构及其培训活动检查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《中华人民共和国民办教育促进法》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《河南省职业能力培训条例》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民办培训机构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劳务派遣业务和派遣用工情况的检查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《中华人民共和国劳动合同法》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《劳务派遣行政许可实施办法》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劳务派遣单位和用工单位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不定时工作制和综合计算工时工作制执行情况检查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9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59</w:t>
            </w:r>
          </w:p>
        </w:tc>
        <w:tc>
          <w:tcPr>
            <w:tcW w:w="11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2116"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互联网上网服务营业场所</w:t>
            </w:r>
            <w:r>
              <w:rPr>
                <w:rFonts w:hint="default" w:ascii="Times New Roman" w:hAnsi="Times New Roman" w:eastAsia="仿宋_GB2312" w:cs="Times New Roman"/>
                <w:color w:val="000000"/>
                <w:sz w:val="22"/>
                <w:szCs w:val="22"/>
                <w:lang w:eastAsia="zh-CN"/>
              </w:rPr>
              <w:t>的</w:t>
            </w:r>
            <w:r>
              <w:rPr>
                <w:rFonts w:hint="default" w:ascii="Times New Roman" w:hAnsi="Times New Roman" w:eastAsia="仿宋_GB2312" w:cs="Times New Roman"/>
                <w:color w:val="000000"/>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《互联网上网服务营业场所管理条例》</w:t>
            </w:r>
          </w:p>
        </w:tc>
        <w:tc>
          <w:tcPr>
            <w:tcW w:w="1269"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16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互联网上网服务营业场所</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现场检查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60</w:t>
            </w:r>
          </w:p>
        </w:tc>
        <w:tc>
          <w:tcPr>
            <w:tcW w:w="11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2116"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娱乐场所</w:t>
            </w:r>
            <w:r>
              <w:rPr>
                <w:rFonts w:hint="default" w:ascii="Times New Roman" w:hAnsi="Times New Roman" w:eastAsia="仿宋_GB2312" w:cs="Times New Roman"/>
                <w:color w:val="000000"/>
                <w:sz w:val="22"/>
                <w:szCs w:val="22"/>
                <w:lang w:eastAsia="zh-CN"/>
              </w:rPr>
              <w:t>的</w:t>
            </w:r>
            <w:r>
              <w:rPr>
                <w:rFonts w:hint="default" w:ascii="Times New Roman" w:hAnsi="Times New Roman" w:eastAsia="仿宋_GB2312" w:cs="Times New Roman"/>
                <w:color w:val="000000"/>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《娱乐场所管理条例》</w:t>
            </w:r>
          </w:p>
        </w:tc>
        <w:tc>
          <w:tcPr>
            <w:tcW w:w="1269"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16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歌舞娱乐场所</w:t>
            </w:r>
          </w:p>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电子游艺场所</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现场检查</w:t>
            </w:r>
          </w:p>
        </w:tc>
      </w:tr>
      <w:tr>
        <w:tblPrEx>
          <w:tblCellMar>
            <w:top w:w="0" w:type="dxa"/>
            <w:left w:w="108" w:type="dxa"/>
            <w:bottom w:w="0" w:type="dxa"/>
            <w:right w:w="108" w:type="dxa"/>
          </w:tblCellMar>
        </w:tblPrEx>
        <w:trPr>
          <w:trHeight w:val="90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61</w:t>
            </w:r>
          </w:p>
        </w:tc>
        <w:tc>
          <w:tcPr>
            <w:tcW w:w="11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2116"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旅游市场</w:t>
            </w:r>
            <w:r>
              <w:rPr>
                <w:rFonts w:hint="default" w:ascii="Times New Roman" w:hAnsi="Times New Roman" w:eastAsia="仿宋_GB2312" w:cs="Times New Roman"/>
                <w:color w:val="000000"/>
                <w:sz w:val="22"/>
                <w:szCs w:val="22"/>
                <w:lang w:eastAsia="zh-CN"/>
              </w:rPr>
              <w:t>的</w:t>
            </w:r>
            <w:r>
              <w:rPr>
                <w:rFonts w:hint="default" w:ascii="Times New Roman" w:hAnsi="Times New Roman" w:eastAsia="仿宋_GB2312" w:cs="Times New Roman"/>
                <w:color w:val="000000"/>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《旅行社条例》</w:t>
            </w:r>
          </w:p>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《导游人员管理条例》</w:t>
            </w:r>
          </w:p>
        </w:tc>
        <w:tc>
          <w:tcPr>
            <w:tcW w:w="1269"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16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旅行社、导游</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人民防空工程维护管理情况的检查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《中华人民共和国人民防空法》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人防工程使用单位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 xml:space="preserve">现场检查 </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防空地下室易地建设费征收使用管理情况的检查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《中华人民共和国人民防空法》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人防易地建设费缴纳单位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 xml:space="preserve">现场检查 </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房地产开发企业的检查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《房地产开发企业资质管理规定》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二级及以下资质房地产开发企业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建筑市场检查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《中华人民共和国建筑法》</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《中华人民共和国招标投标法》      《河南省建筑市场管理条例》</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《保障农民工工资支付条例》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在建房屋建筑和市政基础设施工程所涉企业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书面检查</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网络检查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建筑业企业资质检查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《建筑业企业资质管理规定》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建筑业企业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书面检查</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网络检查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建筑节能与墙材革新的检查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《民用建筑节能条例》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《河南省绿色建筑条例》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在建居住建筑和公共建筑所涉建设单位(企业)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消防审验工作检查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《中华人民共和国消防法》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《建设工程消防设计审查验收管理暂行规定》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消防审验所涉建设单位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建设工程安全的检查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《中华人民共和国建筑法》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《建设工程安全生产管理条例》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在建房屋建筑和市政工程建设单位、施工单位和监  理单位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建设工程质量的检查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《建设工程质量管理条例》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在建房屋建筑和市政工程建设单位、施工单位和监理单位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物业服务企业的检查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《物业管理条例》                   《河南省物业管理条例》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开展有物业管理服务项目的物业服务企业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工程监理企业资质检查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《工程监理企业资质管理规定》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工程监理企业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书面检查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网络检查</w:t>
            </w:r>
          </w:p>
        </w:tc>
      </w:tr>
      <w:tr>
        <w:tblPrEx>
          <w:tblCellMar>
            <w:top w:w="0" w:type="dxa"/>
            <w:left w:w="108" w:type="dxa"/>
            <w:bottom w:w="0" w:type="dxa"/>
            <w:right w:w="108" w:type="dxa"/>
          </w:tblCellMar>
        </w:tblPrEx>
        <w:trPr>
          <w:trHeight w:val="88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互联网上网服务营业场所的检查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《互联网上网服务营业场所管理条例》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互联网上网服务营业场所经营单位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公章刻制业的检查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《印铸刻字业暂行管理规则》</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公章刻制业经营单位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8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典当业的检查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《典当管理办法》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典当业经营单位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废旧金属收购的检查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《再生资源回收管理办法》</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《废旧金属收购业治安管理办法》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废旧金属收购业经营单位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保安服务活动的检查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《保安服务管理条例》</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《公安机关实施保安服务管理条例办法》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保安服务员行业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单位内部治安保卫工作的检查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《企业事业内部治安保卫条例》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企业事业单位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旅馆业治安管理的检查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公安部《旅馆业治安管理办法》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旅馆业经营单位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第二类、第三类易制毒化学品的经营、购买、运输单位的购买许可、运输许可、及备案情况的检查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《易制毒化学品管理条例》</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《易制毒化学品购销和运输管理办法》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第二类、第三类易制毒化学品经营、购买、运输的单位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娱乐场所的检查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《娱乐场所管理条例》</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《娱乐场所治安管理办法》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娱乐场所经营单位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道路危险货物运输企业车辆登记情况的检查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《中华人民共和国道路交通安全法》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道路危险货物运输企业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道路客运企业车辆登记情况的检查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《中华人民共和国道路交通安全法》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道路客运运输企业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1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84</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县消防救援大队</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消防监督抽查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《中华人民共和国消防法》</w:t>
            </w:r>
          </w:p>
          <w:p>
            <w:pPr>
              <w:widowControl/>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《河南省消防条例》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14:textFill>
                  <w14:solidFill>
                    <w14:schemeClr w14:val="tx1"/>
                  </w14:solidFill>
                </w14:textFill>
              </w:rPr>
              <w:t>《消防监督检查规定》</w:t>
            </w:r>
          </w:p>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《新乡市居民住宅区消防安全管理条例》</w:t>
            </w:r>
          </w:p>
        </w:tc>
        <w:tc>
          <w:tcPr>
            <w:tcW w:w="12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队</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消防安全重点单位作为监督抽查的重点，非消防安全重点单位占一定比例</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22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85</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队</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社会消防技术服务活动监督抽查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《社会消防技术服务管理规定》</w:t>
            </w:r>
          </w:p>
        </w:tc>
        <w:tc>
          <w:tcPr>
            <w:tcW w:w="12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队</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从事消防设施维护保养检测、消防安全评估等社会消防技术服务活动的企业；在上述企业中从事社会消防技术服务活动的从业人员</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86</w:t>
            </w:r>
          </w:p>
        </w:tc>
        <w:tc>
          <w:tcPr>
            <w:tcW w:w="110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城市供水水质</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《城市供水水质管理规定》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城镇供水企业</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现场检查</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书面检查</w:t>
            </w:r>
          </w:p>
        </w:tc>
      </w:tr>
      <w:tr>
        <w:tblPrEx>
          <w:tblCellMar>
            <w:top w:w="0" w:type="dxa"/>
            <w:left w:w="108" w:type="dxa"/>
            <w:bottom w:w="0" w:type="dxa"/>
            <w:right w:w="108" w:type="dxa"/>
          </w:tblCellMar>
        </w:tblPrEx>
        <w:trPr>
          <w:trHeight w:val="8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87</w:t>
            </w:r>
          </w:p>
        </w:tc>
        <w:tc>
          <w:tcPr>
            <w:tcW w:w="110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城镇排水和污水处理设施监督检查</w:t>
            </w:r>
          </w:p>
        </w:tc>
        <w:tc>
          <w:tcPr>
            <w:tcW w:w="413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《中华人民共和国水污染防治法》</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《城镇排水与污水处理条例》</w:t>
            </w:r>
          </w:p>
        </w:tc>
        <w:tc>
          <w:tcPr>
            <w:tcW w:w="126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城镇生活污水处理厂</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现场检查</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书面检查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88</w:t>
            </w:r>
          </w:p>
        </w:tc>
        <w:tc>
          <w:tcPr>
            <w:tcW w:w="110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燃气企业监督</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《城镇燃气管理条例》</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《河南省城镇燃气管理办法》</w:t>
            </w:r>
          </w:p>
        </w:tc>
        <w:tc>
          <w:tcPr>
            <w:tcW w:w="126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燃气企业</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现场检查</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 w:eastAsia="zh-CN" w:bidi="ar-SA"/>
              </w:rPr>
            </w:pPr>
            <w:r>
              <w:rPr>
                <w:rFonts w:hint="default" w:ascii="Times New Roman" w:hAnsi="Times New Roman" w:eastAsia="仿宋_GB2312" w:cs="Times New Roman"/>
                <w:color w:val="auto"/>
                <w:kern w:val="0"/>
                <w:sz w:val="22"/>
                <w:szCs w:val="22"/>
                <w:lang w:val="en"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eastAsia="zh-CN"/>
              </w:rPr>
              <w:t>城市建筑垃圾清运的监督检查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val="en-US" w:eastAsia="zh-CN"/>
              </w:rPr>
              <w:t>《城市建筑垃圾管理规定》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 w:eastAsia="zh-CN" w:bidi="ar-SA"/>
              </w:rPr>
            </w:pPr>
            <w:r>
              <w:rPr>
                <w:rFonts w:hint="default" w:ascii="Times New Roman" w:hAnsi="Times New Roman" w:eastAsia="仿宋_GB2312" w:cs="Times New Roman"/>
                <w:color w:val="auto"/>
                <w:kern w:val="0"/>
                <w:sz w:val="22"/>
                <w:szCs w:val="22"/>
                <w:lang w:val="en"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val="en-US" w:eastAsia="zh-CN"/>
              </w:rPr>
              <w:t>建筑垃圾产生企业、清运企业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取水许可事项的监督检查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取水许可和水资源费征收管理办法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用水单位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水土保持的监督检查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中华人民共和国水土保持法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生产建设单位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网络监察</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河道、湖泊管理范围内工程建设的检查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中华人民共和国防洪法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建设单位及个人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违反水法行为的监督检查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中华人民共和国水法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违反水法的单位及个人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河道管理许可事项的监督检查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洪评报告审批的监督检查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水利工程施工现场的监督检查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水利工程建设安全生产管理规定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水资源监控监测检查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中华人民共和国水法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用水单位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城市规划区内节水和地下水资源开发利用的日常监督检查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河南省节约用水管理办法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color w:val="auto"/>
                <w:kern w:val="0"/>
                <w:sz w:val="22"/>
                <w:szCs w:val="22"/>
                <w:lang w:val="en-US" w:eastAsia="zh-CN"/>
              </w:rPr>
              <w:t>99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lang w:val="en-US" w:eastAsia="zh-CN"/>
              </w:rPr>
              <w:t>县发改委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重点用能单位节能管理制度落实情况的检查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《中华人民共和国节约能源法》</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《河南省节约能源条例》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《河南省节能监察办法》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县发改委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重点用能单位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color w:val="auto"/>
                <w:kern w:val="0"/>
                <w:sz w:val="22"/>
                <w:szCs w:val="22"/>
                <w:lang w:val="en-US" w:eastAsia="zh-CN"/>
              </w:rPr>
              <w:t>100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lang w:val="en-US" w:eastAsia="zh-CN"/>
              </w:rPr>
              <w:t>县发改委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固定资产投资项目节能审查制度落实情况的检查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《中华人民共和国节约能源法》</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《河南省节约能源条例》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《固定资产投资项目节能审查办法》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县发改委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县级审批并开展节能审查事项的固定资产投资项目单位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矿上地质环境保护与土地复垦监督检查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河南省地质环境保护条例土地复垦条例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矿业权人及其它土地复垦义务人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对矿业权人履行法定义务的行政检查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矿业权人勘查开采信息公示办法（试行）</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矿业权人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测绘资质单位检查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中华人民共和国测绘法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测绘资质单位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测绘质量检查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中华人民共和国测绘法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《中和人民共和国标准化法》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《基础测绘条例》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测绘资质单位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地图管理监督检查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地图管理条例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地图送审单位、测绘资质单位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204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测绘成果管理监督检查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中和人民共和国保守国家秘密法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河南省测绘成果管理办法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中和人民共和国测绘成果管理条例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测绘项目出资人或承担国家投资的测绘项目的资质单位，涉密测绘成果领取单位涉密测绘成果保管单位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林木种苗产品质量检查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中和人民共和国种子法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育苗企业或个人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国家重点保护野生动物驯养繁殖场所检查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国家重点保护野生动物驯养繁殖许可证管理办法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国家重点保护野生动物驯养繁殖单位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县统计局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统计违法行为和统计数据的检查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《中华人民共和国统计法》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《中华人民共和国统计法实施条例》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县统计局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“四上企业”库的重点企业（单位）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县级储备粮的检查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《河南省储备粮管理办法》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县级储备粮收储企业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粮食库存的检查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《河南省储备粮管理办法》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粮食收购活动的检查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政策性粮食销售出库的检查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政策性粮食收储企业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84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color w:val="auto"/>
                <w:kern w:val="0"/>
                <w:sz w:val="22"/>
                <w:szCs w:val="22"/>
                <w:lang w:val="en-US" w:eastAsia="zh-CN"/>
              </w:rPr>
              <w:t>114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eastAsia="zh-CN"/>
              </w:rPr>
              <w:t>县民族宗教局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清真食品生产经营监督检查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《河南省少数民族权益保障条例》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《河南省清真食品管理办法》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eastAsia="zh-CN"/>
              </w:rPr>
              <w:t>县民宗局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清真食品生产</w:t>
            </w:r>
            <w:r>
              <w:rPr>
                <w:rFonts w:hint="default" w:ascii="Times New Roman" w:hAnsi="Times New Roman" w:eastAsia="仿宋_GB2312" w:cs="Times New Roman"/>
                <w:color w:val="auto"/>
                <w:sz w:val="22"/>
                <w:szCs w:val="22"/>
                <w:lang w:eastAsia="zh-CN"/>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政府采购法规、政府执行情况的检查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《中华人民共和国政府采购法》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采购代理机构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116</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会计信息质量检查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《中华人民共和国会计法》</w:t>
            </w:r>
          </w:p>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《财政部门监督检查办法》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国家机关、事业单位、社会团体、企业以及其他组织</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现场检查书面检查</w:t>
            </w:r>
          </w:p>
        </w:tc>
      </w:tr>
      <w:tr>
        <w:tblPrEx>
          <w:tblCellMar>
            <w:top w:w="0" w:type="dxa"/>
            <w:left w:w="108" w:type="dxa"/>
            <w:bottom w:w="0" w:type="dxa"/>
            <w:right w:w="108" w:type="dxa"/>
          </w:tblCellMar>
        </w:tblPrEx>
        <w:trPr>
          <w:trHeight w:val="11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117</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县医保局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定点医疗机构医保基金使用情况的检查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《中华人民共和国社会保险法》</w:t>
            </w:r>
          </w:p>
          <w:p>
            <w:pPr>
              <w:widowControl/>
              <w:snapToGrid w:val="0"/>
              <w:spacing w:line="2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《医疗保障基金使用监督管理条例》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2"/>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县医保局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医疗保障定点医疗机构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网络检查</w:t>
            </w:r>
          </w:p>
        </w:tc>
      </w:tr>
      <w:tr>
        <w:tblPrEx>
          <w:tblCellMar>
            <w:top w:w="0" w:type="dxa"/>
            <w:left w:w="108" w:type="dxa"/>
            <w:bottom w:w="0" w:type="dxa"/>
            <w:right w:w="108" w:type="dxa"/>
          </w:tblCellMar>
        </w:tblPrEx>
        <w:trPr>
          <w:trHeight w:val="10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eastAsia="zh-CN"/>
              </w:rPr>
              <w:t>县医保局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定点零售药店医保基金使用情况的检查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《中华人民共和国社会保险法》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val="en-US" w:eastAsia="zh-CN" w:bidi="ar-SA"/>
              </w:rPr>
              <w:t>《医疗保障基金使用监督管理条例》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eastAsia="zh-CN"/>
              </w:rPr>
              <w:t>县医保局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医疗保障定点零售药店</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网络检查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公共场所卫生管理</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《公共场所管理条例》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公共场所卫生单位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120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消毒产品、餐具饮具集中消毒服务单位卫生管理</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《消毒产品管理办法》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w:t>
            </w:r>
            <w:r>
              <w:rPr>
                <w:rFonts w:hint="default" w:ascii="Times New Roman" w:hAnsi="Times New Roman" w:eastAsia="仿宋_GB2312" w:cs="Times New Roman"/>
                <w:color w:val="000000" w:themeColor="text1"/>
                <w:sz w:val="22"/>
                <w:szCs w:val="22"/>
                <w14:textFill>
                  <w14:solidFill>
                    <w14:schemeClr w14:val="tx1"/>
                  </w14:solidFill>
                </w14:textFill>
              </w:rPr>
              <w:t>级消毒产品、餐具饮具集中消毒服务</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单位</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121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生活饮用水、涉及饮用水卫生安全产品生产经营</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卫生状况监督检查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《生活饮用水卫生监督管理办法》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县级</w:t>
            </w:r>
            <w:r>
              <w:rPr>
                <w:rFonts w:hint="default" w:ascii="Times New Roman" w:hAnsi="Times New Roman" w:eastAsia="仿宋_GB2312" w:cs="Times New Roman"/>
                <w:color w:val="000000" w:themeColor="text1"/>
                <w:sz w:val="22"/>
                <w:szCs w:val="22"/>
                <w14:textFill>
                  <w14:solidFill>
                    <w14:schemeClr w14:val="tx1"/>
                  </w14:solidFill>
                </w14:textFill>
              </w:rPr>
              <w:t>生活饮用水、涉及饮用水卫生安全产品生产经营单位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2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职业卫生依法执业情况</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《职业健康检查管理办法》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县级</w:t>
            </w:r>
            <w:r>
              <w:rPr>
                <w:rFonts w:hint="default" w:ascii="Times New Roman" w:hAnsi="Times New Roman" w:eastAsia="仿宋_GB2312" w:cs="Times New Roman"/>
                <w:color w:val="000000" w:themeColor="text1"/>
                <w:sz w:val="22"/>
                <w:szCs w:val="22"/>
                <w14:textFill>
                  <w14:solidFill>
                    <w14:schemeClr w14:val="tx1"/>
                  </w14:solidFill>
                </w14:textFill>
              </w:rPr>
              <w:t>职业卫生单位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病媒生物防治工作</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《新乡市病媒生物防制管理办法》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公共场所和有关卫生单位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职业卫生技术服务机构执业等情况的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职业卫生技术服务机构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7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用人单位职业病防治情况的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用人单位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75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献血工作的监督检查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《中华人民共和国献血法》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r>
      <w:tr>
        <w:tblPrEx>
          <w:tblCellMar>
            <w:top w:w="0" w:type="dxa"/>
            <w:left w:w="108" w:type="dxa"/>
            <w:bottom w:w="0" w:type="dxa"/>
            <w:right w:w="108" w:type="dxa"/>
          </w:tblCellMar>
        </w:tblPrEx>
        <w:trPr>
          <w:trHeight w:val="232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奖励扶助对象的资格确认工作和资金发放等情况的监督检查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《河南省人民政府办公厅关于转发&lt;省人口计生委财政厅河南省农村部分计划生育家庭奖励扶助制度实施方案（试行）的通知&gt;》</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《河南省卫生和计划生育委员会关于印发&lt;河南省城镇独生子女父母奖励扶助制度政策解释及对象确认与退出程序&gt;的通知》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奖励扶助对象</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r>
      <w:tr>
        <w:tblPrEx>
          <w:tblCellMar>
            <w:top w:w="0" w:type="dxa"/>
            <w:left w:w="108" w:type="dxa"/>
            <w:bottom w:w="0" w:type="dxa"/>
            <w:right w:w="108" w:type="dxa"/>
          </w:tblCellMar>
        </w:tblPrEx>
        <w:trPr>
          <w:trHeight w:val="74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医疗机构执业活动的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《医疗机构管理条例》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二级及以上医院</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78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院前医疗急救工作</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的监督</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《院前医疗急救管理办法》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医疗机构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18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病原微生物实验室资格、从业人员资格及实验室活动监督检查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《病原微生物实验室生物安全管理条例》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有</w:t>
            </w:r>
            <w:r>
              <w:rPr>
                <w:rFonts w:hint="default" w:ascii="Times New Roman" w:hAnsi="Times New Roman" w:eastAsia="仿宋_GB2312" w:cs="Times New Roman"/>
                <w:color w:val="000000" w:themeColor="text1"/>
                <w:sz w:val="22"/>
                <w:szCs w:val="22"/>
                <w14:textFill>
                  <w14:solidFill>
                    <w14:schemeClr w14:val="tx1"/>
                  </w14:solidFill>
                </w14:textFill>
              </w:rPr>
              <w:t>病原微生物实验室</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继续教育培训机构、基地监督</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《河南省专业技术人员继续教育条例》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培训基地</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44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计划生育技术服务的监督</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《中共新乡市委办公室 新乡市人民政府办公室关于印发《新乡市卫生健康委员会职责配置和人员编制规定》的通知》  （新办文〔2019〕62号）</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技术服务机构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4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药具管理工作的监督检查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《中共新乡市委办公室 新乡市人民政府办公室关于印发《新乡市卫生健康委员会职责配置和人员编制规定》的通知》  （新办文〔2019〕62号）</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药具管理服务机构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29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营业执照（登记证）规范使用情况的检查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《电子商务法》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网络检查</w:t>
            </w:r>
          </w:p>
        </w:tc>
      </w:tr>
      <w:tr>
        <w:tblPrEx>
          <w:tblCellMar>
            <w:top w:w="0" w:type="dxa"/>
            <w:left w:w="108" w:type="dxa"/>
            <w:bottom w:w="0" w:type="dxa"/>
            <w:right w:w="108" w:type="dxa"/>
          </w:tblCellMar>
        </w:tblPrEx>
        <w:trPr>
          <w:trHeight w:val="21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名称规范使用情况的检查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《企业名称登记管理规定》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20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136</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eastAsia="zh-CN"/>
              </w:rPr>
              <w:t>经营（驻在）期限的检查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《公司法》                         《公司登记管理条例》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《合伙企业法》                      《合伙企业登记管理办法》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06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经营（业务）范围中无需审批的经营（业务）项目的检查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8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住所（经营场所）或驻在场所检查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                 《合伙企业登记管理办法》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2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139</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注册资本实缴情况的检查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《国务院关于印发注册资本登记制度改革方案的通知》明确的暂不实行注册资本认缴登记制的行业企业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28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法定代表人（负责人）任职情况的检查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《企业法人法定代表人登记管理条例》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4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法定代表人、自然人股东身份真实性的检查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222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142</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年度报告公示信息的检查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《企业信息公示暂行条例》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《企业公示信息抽查暂行办法》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《企业经营异常名录管理暂行办法》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《个体工商户年度报告暂行办法》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《农民专业合作社年度报告公示暂行办法》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企业、个体工商户、农民专业合作社</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现场检查书面检查网络检查</w:t>
            </w:r>
          </w:p>
        </w:tc>
      </w:tr>
      <w:tr>
        <w:tblPrEx>
          <w:tblCellMar>
            <w:top w:w="0" w:type="dxa"/>
            <w:left w:w="108" w:type="dxa"/>
            <w:bottom w:w="0" w:type="dxa"/>
            <w:right w:w="108" w:type="dxa"/>
          </w:tblCellMar>
        </w:tblPrEx>
        <w:trPr>
          <w:trHeight w:val="176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即时公示信息的检查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rPr>
            </w:pPr>
            <w:r>
              <w:rPr>
                <w:rFonts w:hint="default" w:ascii="Times New Roman" w:hAnsi="Times New Roman" w:eastAsia="仿宋_GB2312" w:cs="Times New Roman"/>
                <w:color w:val="000000"/>
                <w:kern w:val="0"/>
                <w:sz w:val="22"/>
                <w:szCs w:val="22"/>
                <w:highlight w:val="none"/>
              </w:rPr>
              <w:t>《企业信息公示暂行条例》</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《企业公示信息抽查暂行办法》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《企业经营异常名录管理暂行办法》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现场检查书面检查网络检查</w:t>
            </w:r>
          </w:p>
        </w:tc>
      </w:tr>
      <w:tr>
        <w:tblPrEx>
          <w:tblCellMar>
            <w:top w:w="0" w:type="dxa"/>
            <w:left w:w="108" w:type="dxa"/>
            <w:bottom w:w="0" w:type="dxa"/>
            <w:right w:w="108" w:type="dxa"/>
          </w:tblCellMar>
        </w:tblPrEx>
        <w:trPr>
          <w:trHeight w:val="18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执行政府定价、政府指导价情况，明码标价情况及其他价格行为的检查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《价格法》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《河南省价格监督检查条例》</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《价格违法行为行政处罚规定》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《价格法》规定的经营者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73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145</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电子商务平台经营者履行主体责任的检查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《电子商务法》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电子商务平台经营者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现场检查书面检查网络检查</w:t>
            </w:r>
          </w:p>
        </w:tc>
      </w:tr>
      <w:tr>
        <w:tblPrEx>
          <w:tblCellMar>
            <w:top w:w="0" w:type="dxa"/>
            <w:left w:w="108" w:type="dxa"/>
            <w:bottom w:w="0" w:type="dxa"/>
            <w:right w:w="108" w:type="dxa"/>
          </w:tblCellMar>
        </w:tblPrEx>
        <w:trPr>
          <w:trHeight w:val="176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为非法交易野生动物等违法行为提供交易服务的检查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《野生动物保护法》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企业、个体工商户</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4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广告发布登记情况的检查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《广告法》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《广告发布登记管理规定》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广播电台、电视台、报刊出版单位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9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149</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药品、医疗器械、保健食品、特殊医学用途配方食品广告主发布相关广告的审查批准情况的检查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《广告法》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《食品安全法》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《药品管理法》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《医疗器械监督管理条例》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企业、个体工商户及其它经营单位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76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广告经营者、广告发布者建立、健全广告业务的承接登记、审核、档案管理制度情况的检查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企业、个体工商户及其它经营单位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71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《食品生产经营日常监督检查管理办法》《食品生产经营风险分级管理办法（试行）》</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获证食品生产企业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205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151</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食品销售监督检查（含特殊食品）</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《乳品质量安全监督管理条例》</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《食品生产经营日常监督检查管理办法》《河南省食品小作坊、小经营店和小摊点管理条例》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lang w:val="en-US" w:eastAsia="zh-CN" w:bidi="ar"/>
              </w:rPr>
              <w:t>食品销售经营者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51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食品相关产品质量安全监督检查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《食品安全法》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《产品质量法》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《河南省产品质量监督管理条例》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食品相关产品获证企业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18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工业产品生产许可资格检查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《工业产品生产许可证管理条例》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个体工商户</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1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154</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工业产品生产许可证获证企业条件检查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《工业产品生产许可证管理条例》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个体工商户</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4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食用农产品市场销售监督检查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left="220" w:hanging="220" w:hangingChars="10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《食品安全法》                    《食用农产品市场销售质量安全监督管理办法》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食用农产品销售经营者、食用农产品集中交易市场</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现场检查书面检查</w:t>
            </w:r>
          </w:p>
        </w:tc>
      </w:tr>
      <w:tr>
        <w:tblPrEx>
          <w:tblCellMar>
            <w:top w:w="0" w:type="dxa"/>
            <w:left w:w="108" w:type="dxa"/>
            <w:bottom w:w="0" w:type="dxa"/>
            <w:right w:w="108" w:type="dxa"/>
          </w:tblCellMar>
        </w:tblPrEx>
        <w:trPr>
          <w:trHeight w:val="14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餐饮服务监督检查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《食品生产经营日常监督检查管理办法》《河南省食品小作坊、小经营店和小摊点管理条例》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餐饮服务提供者</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（含餐饮服务经营者和单位食堂）</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现场检查</w:t>
            </w:r>
          </w:p>
        </w:tc>
      </w:tr>
      <w:tr>
        <w:tblPrEx>
          <w:tblCellMar>
            <w:top w:w="0" w:type="dxa"/>
            <w:left w:w="108" w:type="dxa"/>
            <w:bottom w:w="0" w:type="dxa"/>
            <w:right w:w="108" w:type="dxa"/>
          </w:tblCellMar>
        </w:tblPrEx>
        <w:trPr>
          <w:trHeight w:val="174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157</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网络食品经营监</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《食品生产经营日常监督检查管理办法》《网络餐饮服务食品安全监督管理办法》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《河南省食品小作坊、小经营店和小摊点管理条例》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入网食品经营者（含食品销售者、餐饮服务提供者）、 网络食品交易第三 方平台</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现场检查书面检查网络检查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p>
        </w:tc>
      </w:tr>
      <w:tr>
        <w:tblPrEx>
          <w:tblCellMar>
            <w:top w:w="0" w:type="dxa"/>
            <w:left w:w="108" w:type="dxa"/>
            <w:bottom w:w="0" w:type="dxa"/>
            <w:right w:w="108" w:type="dxa"/>
          </w:tblCellMar>
        </w:tblPrEx>
        <w:trPr>
          <w:trHeight w:val="7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食品安全监督抽检</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《食品安全抽样检验管理办法》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市场在售食品</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lang w:val="en-US" w:eastAsia="zh-CN"/>
              </w:rPr>
              <w:t>抽样检验</w:t>
            </w:r>
          </w:p>
        </w:tc>
      </w:tr>
      <w:tr>
        <w:tblPrEx>
          <w:tblCellMar>
            <w:top w:w="0" w:type="dxa"/>
            <w:left w:w="108" w:type="dxa"/>
            <w:bottom w:w="0" w:type="dxa"/>
            <w:right w:w="108" w:type="dxa"/>
          </w:tblCellMar>
        </w:tblPrEx>
        <w:trPr>
          <w:trHeight w:val="14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对特种设备生产、使用单位及检验检测机构的监督检查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《特种设备安全法》</w:t>
            </w:r>
          </w:p>
          <w:p>
            <w:pPr>
              <w:widowControl/>
              <w:snapToGrid w:val="0"/>
              <w:spacing w:line="3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《特种设备安全监察条例》</w:t>
            </w:r>
          </w:p>
          <w:p>
            <w:pPr>
              <w:widowControl/>
              <w:snapToGrid w:val="0"/>
              <w:spacing w:line="3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《特种设备现场安全监督检查规则》</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特种设备生产、使用单位及检验检测机构</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60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160</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在用计量器具监督检查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《集贸市场计量监督管理办法》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《加油站计量监督管理办法》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《眼镜制配计量监督管理办法》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企业、事业单位、个体工商户及其他经营者</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抽样检测</w:t>
            </w:r>
          </w:p>
        </w:tc>
      </w:tr>
      <w:tr>
        <w:tblPrEx>
          <w:tblCellMar>
            <w:top w:w="0" w:type="dxa"/>
            <w:left w:w="108" w:type="dxa"/>
            <w:bottom w:w="0" w:type="dxa"/>
            <w:right w:w="108" w:type="dxa"/>
          </w:tblCellMar>
        </w:tblPrEx>
        <w:trPr>
          <w:trHeight w:val="161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法定计量检定机构专项监督检查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《计量法实施细则》</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《法定计量检定机构监督管理办法》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《专业计量站管理办法》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法定计量检定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机构</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计量单位使用情况专项监督检查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《全面推行我国法定计量单位的意见》</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宣传出版、文化教育、市场交易等领域</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05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163</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定量包装商品净含量国家计量监督专项抽查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《定量包装商品计量监督管理办法》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企业、个体工商户及其他经营者</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抽样检测</w:t>
            </w:r>
          </w:p>
        </w:tc>
      </w:tr>
      <w:tr>
        <w:tblPrEx>
          <w:tblCellMar>
            <w:top w:w="0" w:type="dxa"/>
            <w:left w:w="108" w:type="dxa"/>
            <w:bottom w:w="0" w:type="dxa"/>
            <w:right w:w="108" w:type="dxa"/>
          </w:tblCellMar>
        </w:tblPrEx>
        <w:trPr>
          <w:trHeight w:val="136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型式批准监督检查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《计量法实施细则》</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《计量器具新产品管理办法》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企业、事业单位、个体工商户及其他经营者</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现场检查书面检查</w:t>
            </w:r>
          </w:p>
        </w:tc>
      </w:tr>
      <w:tr>
        <w:tblPrEx>
          <w:tblCellMar>
            <w:top w:w="0" w:type="dxa"/>
            <w:left w:w="108" w:type="dxa"/>
            <w:bottom w:w="0" w:type="dxa"/>
            <w:right w:w="108" w:type="dxa"/>
          </w:tblCellMar>
        </w:tblPrEx>
        <w:trPr>
          <w:trHeight w:val="1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检验检测机构检查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《产品质量法》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《认证认可条例》</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《检验检测机构资质认定管理办法》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《食品检验机构资质认定管理办法》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检验检测机构</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书面检查</w:t>
            </w:r>
          </w:p>
        </w:tc>
      </w:tr>
      <w:tr>
        <w:tblPrEx>
          <w:tblCellMar>
            <w:top w:w="0" w:type="dxa"/>
            <w:left w:w="108" w:type="dxa"/>
            <w:bottom w:w="0" w:type="dxa"/>
            <w:right w:w="108" w:type="dxa"/>
          </w:tblCellMar>
        </w:tblPrEx>
        <w:trPr>
          <w:trHeight w:val="12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166</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企业标准自我声明监督检查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《标准化法》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rPr>
            </w:pPr>
            <w:r>
              <w:rPr>
                <w:rFonts w:hint="default" w:ascii="Times New Roman" w:hAnsi="Times New Roman" w:eastAsia="仿宋_GB2312" w:cs="Times New Roman"/>
                <w:color w:val="auto"/>
                <w:kern w:val="0"/>
                <w:sz w:val="22"/>
                <w:szCs w:val="22"/>
                <w:highlight w:val="none"/>
              </w:rPr>
              <w:t>书面检查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rPr>
            </w:pPr>
            <w:r>
              <w:rPr>
                <w:rFonts w:hint="default" w:ascii="Times New Roman" w:hAnsi="Times New Roman" w:eastAsia="仿宋_GB2312" w:cs="Times New Roman"/>
                <w:color w:val="auto"/>
                <w:kern w:val="0"/>
                <w:sz w:val="22"/>
                <w:szCs w:val="22"/>
                <w:highlight w:val="none"/>
              </w:rPr>
              <w:t>网络检查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专业机构检查</w:t>
            </w:r>
          </w:p>
        </w:tc>
      </w:tr>
      <w:tr>
        <w:tblPrEx>
          <w:tblCellMar>
            <w:top w:w="0" w:type="dxa"/>
            <w:left w:w="108" w:type="dxa"/>
            <w:bottom w:w="0" w:type="dxa"/>
            <w:right w:w="108" w:type="dxa"/>
          </w:tblCellMar>
        </w:tblPrEx>
        <w:trPr>
          <w:trHeight w:val="11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团体标准自我声明监督检查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《标准化法》《团体标准管理规定》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社会团体</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书面检查</w:t>
            </w:r>
          </w:p>
          <w:p>
            <w:pPr>
              <w:widowControl/>
              <w:snapToGrid w:val="0"/>
              <w:spacing w:line="24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网络检查</w:t>
            </w:r>
          </w:p>
          <w:p>
            <w:pPr>
              <w:widowControl/>
              <w:snapToGrid w:val="0"/>
              <w:spacing w:line="2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专业机构检查</w:t>
            </w:r>
          </w:p>
        </w:tc>
      </w:tr>
      <w:tr>
        <w:tblPrEx>
          <w:tblCellMar>
            <w:top w:w="0" w:type="dxa"/>
            <w:left w:w="108" w:type="dxa"/>
            <w:bottom w:w="0" w:type="dxa"/>
            <w:right w:w="108" w:type="dxa"/>
          </w:tblCellMar>
        </w:tblPrEx>
        <w:trPr>
          <w:trHeight w:val="10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专利证书、专利文件或专利申请文件真实性的检查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《专利法》</w:t>
            </w:r>
          </w:p>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《专利法实施细则》</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各类市场主体、产品</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8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169</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产品专利宣传真实性的检查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《专利法》</w:t>
            </w:r>
          </w:p>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《专利法实施细则》</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各类市场主体</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06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商标使用行为的检查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《商标法实施条例》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企业、个体工商户、农民专业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合作社</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现场抽查书面检查</w:t>
            </w:r>
          </w:p>
        </w:tc>
      </w:tr>
      <w:tr>
        <w:tblPrEx>
          <w:tblCellMar>
            <w:top w:w="0" w:type="dxa"/>
            <w:left w:w="108" w:type="dxa"/>
            <w:bottom w:w="0" w:type="dxa"/>
            <w:right w:w="108" w:type="dxa"/>
          </w:tblCellMar>
        </w:tblPrEx>
        <w:trPr>
          <w:trHeight w:val="131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171</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集体商标、证明商标（含地理标志）使用行为的检查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《商标法实施条例》</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《集体商标、证明商标注册和管理办法》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企业、个体工商户、农民专业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合作社</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25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商标印制行为的检查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《商标印制管理办法》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企业、个体工商户、农民专业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合作社</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40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商标代理行为的检查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《商标法实施条例》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经市场监管部门登记从事商标代理业务的服务机构（所）</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rPr>
              <w:t>书面检查</w:t>
            </w:r>
          </w:p>
        </w:tc>
      </w:tr>
    </w:tbl>
    <w:p>
      <w:pPr>
        <w:keepNext w:val="0"/>
        <w:keepLines w:val="0"/>
        <w:pageBreakBefore w:val="0"/>
        <w:kinsoku/>
        <w:wordWrap/>
        <w:overflowPunct/>
        <w:topLinePunct w:val="0"/>
        <w:bidi w:val="0"/>
        <w:jc w:val="both"/>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注：共包括23家部门173项随机抽查事项</w:t>
      </w:r>
    </w:p>
    <w:p>
      <w:pPr>
        <w:pStyle w:val="2"/>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p>
    <w:p>
      <w:pP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sectPr>
          <w:footerReference r:id="rId3" w:type="default"/>
          <w:pgSz w:w="16838" w:h="11906" w:orient="landscape"/>
          <w:pgMar w:top="1803" w:right="1531" w:bottom="1519" w:left="1531" w:header="851" w:footer="992" w:gutter="0"/>
          <w:cols w:space="425" w:num="1"/>
          <w:docGrid w:type="lines" w:linePitch="312" w:charSpace="0"/>
        </w:sect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1" locked="0" layoutInCell="1" allowOverlap="1">
                <wp:simplePos x="0" y="0"/>
                <wp:positionH relativeFrom="column">
                  <wp:posOffset>5080</wp:posOffset>
                </wp:positionH>
                <wp:positionV relativeFrom="paragraph">
                  <wp:posOffset>44450</wp:posOffset>
                </wp:positionV>
                <wp:extent cx="5600700" cy="635"/>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4pt;margin-top:3.5pt;height:0.05pt;width:441pt;z-index:-251656192;mso-width-relative:page;mso-height-relative:page;" filled="f" stroked="t" coordsize="21600,21600" o:gfxdata="UEsFBgAAAAAAAAAAAAAAAAAAAAAAAFBLAwQKAAAAAACHTuJAAAAAAAAAAAAAAAAABAAAAGRycy9Q&#10;SwMEFAAAAAgAh07iQI95vobSAAAABAEAAA8AAABkcnMvZG93bnJldi54bWxNj8tOwzAQRfdI/IM1&#10;SOyokyyoFeJ0AaoqEJu2SGynyRCnjcdp7D74e4YVLI/u6N4z1eLqB3WmKfaBLeSzDBRxE9qeOwsf&#10;2+WDARUTcotDYLLwTREW9e1NhWUbLrym8yZ1Sko4lmjBpTSWWsfGkcc4CyOxZF9h8pgEp063E16k&#10;3A+6yLJH7bFnWXA40rOj5rA5eQv4slqnT1O8zftX977fLo8rZ47W3t/l2ROoRNf0dwy/+qIOtTjt&#10;wonbqAYL4p0szOUfCY0phHfCOei60v/l6x9QSwMEFAAAAAgAh07iQOeWDhjqAQAAvQMAAA4AAABk&#10;cnMvZTJvRG9jLnhtbK1TsY4TMRDtkfgHyz3ZTdDl0CqbKxIdzQGR7viAidebtbA9lu1kk5/gB5Do&#10;oKKk5284PoOxNwnc0VzBFpbHM/Nm3pvZ2dXeaLaTPii0NR+PSs6kFdgou6n5+7vrF684CxFsAxqt&#10;rPlBBn41f/5s1rtKTrBD3UjPCMSGqnc172J0VVEE0UkDYYROWnK26A1EMv2maDz0hG50MSnLadGj&#10;b5xHIUOg1+Xg5EdE/xRAbFsl5BLF1kgbB1QvNUSiFDrlAp/nbttWiviubYOMTNecmMZ8UhG6r9NZ&#10;zGdQbTy4ToljC/CUFh5xMqAsFT1DLSEC23r1D5RRwmPANo4EmmIgkhUhFuPykTa3HTiZuZDUwZ1F&#10;D/8PVrzdrTxTDW3CJWcWDE38/tP3nx+//Prxmc77b18ZeUim3oWKohd25RNRsbe37gbFh8AsLjqw&#10;G5nbvTs4ghinjOJBSjKCo2Lr/g02FAPbiFmzfetNgiQ12D6P5nAejdxHJujxYlqWlyVNTZBv+vIi&#10;40N1SnU+xNcSDUuXmmtlk25Qwe4mxNQKVKeQ9GzxWmmdZ68t66nfSQJProBaNcmbDb9ZL7RnO0jr&#10;k79j4QdhHre2Gapom/Jk3rxj6RPxQcI1NoeVP6lDU83NHTcwrc3fdtbwz183/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BQAAAAIAIdO4kCPeb6G0gAAAAQBAAAPAAAAAAAAAAEAIAAAADgAAABk&#10;cnMvZG93bnJldi54bWxQSwECFAAUAAAACACHTuJA55YOGOoBAAC9AwAADgAAAAAAAAABACAAAAA3&#10;AQAAZHJzL2Uyb0RvYy54bWxQSwECFAAKAAAAAACHTuJAAAAAAAAAAAAAAAAABAAAAAAAAAAAABAA&#10;AAAWAAAAZHJzL1BLAQIUAAoAAAAAAIdO4kAAAAAAAAAAAAAAAAAGAAAAAAAAAAAAEAAAAE0DAABf&#10;cmVscy9QSwUGAAAAAAYABgBZAQAAkw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1312" behindDoc="1" locked="0" layoutInCell="1" allowOverlap="1">
                <wp:simplePos x="0" y="0"/>
                <wp:positionH relativeFrom="column">
                  <wp:posOffset>14605</wp:posOffset>
                </wp:positionH>
                <wp:positionV relativeFrom="paragraph">
                  <wp:posOffset>434975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1.15pt;margin-top:34.25pt;height:0.05pt;width:441pt;z-index:-251655168;mso-width-relative:page;mso-height-relative:page;" filled="f" stroked="t" coordsize="21600,21600" o:gfxdata="UEsFBgAAAAAAAAAAAAAAAAAAAAAAAFBLAwQKAAAAAACHTuJAAAAAAAAAAAAAAAAABAAAAGRycy9Q&#10;SwMEFAAAAAgAh07iQA+cwjHVAAAABwEAAA8AAABkcnMvZG93bnJldi54bWxNjstOwzAQRfdI/IM1&#10;SOyo0wDBSuN0AaoqEJu2SN1OYxMH4nEauw/+nukKlvehe081P/teHO0Yu0AappMMhKUmmI5aDR+b&#10;xZ0CEROSwT6Q1fBjI8zr66sKSxNOtLLHdWoFj1AsUYNLaSiljI2zHuMkDJY4+wyjx8RybKUZ8cTj&#10;vpd5lhXSY0f84HCwz8423+uD14Avy1XaqvztqXt171+bxX7p1F7r25tpNgOR7Dn9leGCz+hQM9Mu&#10;HMhE0WvI77mooVCPIDhW6oGN3cUoQNaV/M9f/wJQSwMEFAAAAAgAh07iQFSffDbpAQAAuwMAAA4A&#10;AABkcnMvZTJvRG9jLnhtbK1TsY4TMRDtkfgHyz3ZTdAFtMrmikRHc0CkOz5g4vVmLWyPZTvZ5Cf4&#10;ASQ6qCjp+Zs7PoOxNwnc0VzBFpbHM/Nm3pvZ2eXeaLaTPii0NR+PSs6kFdgou6n5h9urF685CxFs&#10;AxqtrPlBBn45f/5s1rtKTrBD3UjPCMSGqnc172J0VVEE0UkDYYROWnK26A1EMv2maDz0hG50MSnL&#10;adGjb5xHIUOg1+Xg5EdE/xRAbFsl5BLF1kgbB1QvNUSiFDrlAp/nbttWivi+bYOMTNecmMZ8UhG6&#10;r9NZzGdQbTy4ToljC/CUFh5xMqAsFT1DLSEC23r1D5RRwmPANo4EmmIgkhUhFuPykTY3HTiZuZDU&#10;wZ1FD/8PVrzbrTxTTc0nnFkwNPD7zz/uPn399fMLnfffv7FJEql3oaLYhV35RFPs7Y27RvExMIuL&#10;DuxG5mZvD44QximjeJCSjOCo1Lp/iw3FwDZiVmzfepMgSQu2z4M5nAcj95EJeryYluWrkmYmyDd9&#10;eZHxoTqlOh/iG4mGpUvNtbJJNahgdx1iagWqU0h6tniltM6T15b11O8kgSdXQK2a5M2G36wX2rMd&#10;pOXJ37HwgzCPW9sMVbRNeTLv3bH0ifgg4Rqbw8qf1KGZ5uaO+5eW5m87a/jnn5v/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FAAAAAgAh07iQA+cwjHVAAAABwEAAA8AAAAAAAAAAQAgAAAAOAAA&#10;AGRycy9kb3ducmV2LnhtbFBLAQIUABQAAAAIAIdO4kBUn3w26QEAALsDAAAOAAAAAAAAAAEAIAAA&#10;ADoBAABkcnMvZTJvRG9jLnhtbFBLAQIUAAoAAAAAAIdO4kAAAAAAAAAAAAAAAAAEAAAAAAAAAAAA&#10;EAAAABYAAABkcnMvUEsBAhQACgAAAAAAh07iQAAAAAAAAAAAAAAAAAYAAAAAAAAAAAAQAAAATwMA&#10;AF9yZWxzL1BLBQYAAAAABgAGAFkBAACV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获嘉县人民政府办公室 </w:t>
      </w:r>
      <w:r>
        <w:rPr>
          <w:rFonts w:hint="default" w:ascii="Times New Roman" w:hAnsi="Times New Roman" w:eastAsia="仿宋_GB2312"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202</w:t>
      </w:r>
      <w:r>
        <w:rPr>
          <w:rFonts w:hint="eastAsia"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年</w:t>
      </w:r>
      <w:r>
        <w:rPr>
          <w:rFonts w:hint="eastAsia" w:cs="Times New Roman"/>
          <w:color w:val="auto"/>
          <w:sz w:val="28"/>
          <w:szCs w:val="28"/>
          <w:lang w:val="en-US" w:eastAsia="zh-CN"/>
        </w:rPr>
        <w:t>11</w:t>
      </w:r>
      <w:r>
        <w:rPr>
          <w:rFonts w:hint="default" w:ascii="Times New Roman" w:hAnsi="Times New Roman" w:eastAsia="仿宋_GB2312" w:cs="Times New Roman"/>
          <w:color w:val="auto"/>
          <w:sz w:val="28"/>
          <w:szCs w:val="28"/>
        </w:rPr>
        <w:t>月</w:t>
      </w:r>
      <w:r>
        <w:rPr>
          <w:rFonts w:hint="eastAsia" w:cs="Times New Roman"/>
          <w:color w:val="auto"/>
          <w:sz w:val="28"/>
          <w:szCs w:val="28"/>
          <w:lang w:val="en-US" w:eastAsia="zh-CN"/>
        </w:rPr>
        <w:t>7</w:t>
      </w:r>
      <w:r>
        <w:rPr>
          <w:rFonts w:hint="default" w:ascii="Times New Roman" w:hAnsi="Times New Roman" w:eastAsia="仿宋_GB2312" w:cs="Times New Roman"/>
          <w:color w:val="auto"/>
          <w:sz w:val="28"/>
          <w:szCs w:val="28"/>
        </w:rPr>
        <w:t>日印发</w:t>
      </w:r>
    </w:p>
    <w:p>
      <w:pPr>
        <w:rPr>
          <w:rFonts w:hint="default"/>
          <w:lang w:val="en-US" w:eastAsia="zh-CN"/>
        </w:rPr>
      </w:pP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MGIzMGZlMTM0Mjg2NGMwZTA5YWI4NzViMjZlOGUifQ=="/>
  </w:docVars>
  <w:rsids>
    <w:rsidRoot w:val="0059163B"/>
    <w:rsid w:val="00043E4E"/>
    <w:rsid w:val="000760B0"/>
    <w:rsid w:val="000B197B"/>
    <w:rsid w:val="000B2885"/>
    <w:rsid w:val="000C5FA3"/>
    <w:rsid w:val="00141033"/>
    <w:rsid w:val="00150304"/>
    <w:rsid w:val="001532AF"/>
    <w:rsid w:val="001708FA"/>
    <w:rsid w:val="001A0A13"/>
    <w:rsid w:val="001B5B32"/>
    <w:rsid w:val="001C727D"/>
    <w:rsid w:val="001D0A2A"/>
    <w:rsid w:val="001D1F5D"/>
    <w:rsid w:val="001F06F4"/>
    <w:rsid w:val="001F0EF6"/>
    <w:rsid w:val="001F2FCF"/>
    <w:rsid w:val="00221D01"/>
    <w:rsid w:val="002535F2"/>
    <w:rsid w:val="00266A6E"/>
    <w:rsid w:val="002D122D"/>
    <w:rsid w:val="002E6F3E"/>
    <w:rsid w:val="00324EE7"/>
    <w:rsid w:val="003363ED"/>
    <w:rsid w:val="00367FF8"/>
    <w:rsid w:val="00373AA5"/>
    <w:rsid w:val="00373EC0"/>
    <w:rsid w:val="00384598"/>
    <w:rsid w:val="00393FE2"/>
    <w:rsid w:val="003D1F4B"/>
    <w:rsid w:val="004174F2"/>
    <w:rsid w:val="00421AF5"/>
    <w:rsid w:val="00434A32"/>
    <w:rsid w:val="00442C0F"/>
    <w:rsid w:val="0046658D"/>
    <w:rsid w:val="00470038"/>
    <w:rsid w:val="0047271F"/>
    <w:rsid w:val="004F1855"/>
    <w:rsid w:val="00502B63"/>
    <w:rsid w:val="00503CC3"/>
    <w:rsid w:val="00514860"/>
    <w:rsid w:val="0054300D"/>
    <w:rsid w:val="005465B3"/>
    <w:rsid w:val="00556E12"/>
    <w:rsid w:val="00572DF1"/>
    <w:rsid w:val="005911A8"/>
    <w:rsid w:val="0059163B"/>
    <w:rsid w:val="005B5229"/>
    <w:rsid w:val="005E0C47"/>
    <w:rsid w:val="00600732"/>
    <w:rsid w:val="00604753"/>
    <w:rsid w:val="00625695"/>
    <w:rsid w:val="0063265E"/>
    <w:rsid w:val="00646E09"/>
    <w:rsid w:val="00664A88"/>
    <w:rsid w:val="0067694E"/>
    <w:rsid w:val="00681BC4"/>
    <w:rsid w:val="006A3804"/>
    <w:rsid w:val="006C7E4F"/>
    <w:rsid w:val="006E0B88"/>
    <w:rsid w:val="00721033"/>
    <w:rsid w:val="00723C53"/>
    <w:rsid w:val="00743168"/>
    <w:rsid w:val="00757BDD"/>
    <w:rsid w:val="00771FC3"/>
    <w:rsid w:val="00780A77"/>
    <w:rsid w:val="00782232"/>
    <w:rsid w:val="00786368"/>
    <w:rsid w:val="007C3207"/>
    <w:rsid w:val="008076A5"/>
    <w:rsid w:val="00824D60"/>
    <w:rsid w:val="00826E9E"/>
    <w:rsid w:val="008424E8"/>
    <w:rsid w:val="00866A59"/>
    <w:rsid w:val="00876C36"/>
    <w:rsid w:val="008B4EFD"/>
    <w:rsid w:val="008C2B50"/>
    <w:rsid w:val="008F5EE7"/>
    <w:rsid w:val="00911141"/>
    <w:rsid w:val="009138EF"/>
    <w:rsid w:val="0093284F"/>
    <w:rsid w:val="0094025D"/>
    <w:rsid w:val="00952761"/>
    <w:rsid w:val="009855C1"/>
    <w:rsid w:val="009C24B7"/>
    <w:rsid w:val="009D0051"/>
    <w:rsid w:val="009E3E25"/>
    <w:rsid w:val="00A16CD5"/>
    <w:rsid w:val="00A21498"/>
    <w:rsid w:val="00A46881"/>
    <w:rsid w:val="00AA2148"/>
    <w:rsid w:val="00AA661A"/>
    <w:rsid w:val="00AD4C34"/>
    <w:rsid w:val="00B16189"/>
    <w:rsid w:val="00B21C71"/>
    <w:rsid w:val="00B359AA"/>
    <w:rsid w:val="00B626F1"/>
    <w:rsid w:val="00B746C7"/>
    <w:rsid w:val="00B82BC1"/>
    <w:rsid w:val="00BA0A9D"/>
    <w:rsid w:val="00BA3938"/>
    <w:rsid w:val="00BC2767"/>
    <w:rsid w:val="00C13601"/>
    <w:rsid w:val="00C164E5"/>
    <w:rsid w:val="00C2099E"/>
    <w:rsid w:val="00C35B31"/>
    <w:rsid w:val="00C47104"/>
    <w:rsid w:val="00C57384"/>
    <w:rsid w:val="00C57497"/>
    <w:rsid w:val="00C816F1"/>
    <w:rsid w:val="00C86F8C"/>
    <w:rsid w:val="00C87634"/>
    <w:rsid w:val="00CA723E"/>
    <w:rsid w:val="00CE14B9"/>
    <w:rsid w:val="00D00792"/>
    <w:rsid w:val="00D02B28"/>
    <w:rsid w:val="00D25932"/>
    <w:rsid w:val="00D54673"/>
    <w:rsid w:val="00D615E5"/>
    <w:rsid w:val="00D617A5"/>
    <w:rsid w:val="00D915FA"/>
    <w:rsid w:val="00D96F00"/>
    <w:rsid w:val="00DA63D8"/>
    <w:rsid w:val="00DC63F1"/>
    <w:rsid w:val="00DD1F28"/>
    <w:rsid w:val="00DE035B"/>
    <w:rsid w:val="00E25524"/>
    <w:rsid w:val="00E264F3"/>
    <w:rsid w:val="00E2791C"/>
    <w:rsid w:val="00E6185B"/>
    <w:rsid w:val="00E9059E"/>
    <w:rsid w:val="00ED07C0"/>
    <w:rsid w:val="00ED3EB9"/>
    <w:rsid w:val="00ED5F32"/>
    <w:rsid w:val="00ED696D"/>
    <w:rsid w:val="00ED6D15"/>
    <w:rsid w:val="00F163B1"/>
    <w:rsid w:val="00F2211B"/>
    <w:rsid w:val="00F3194F"/>
    <w:rsid w:val="00F50D70"/>
    <w:rsid w:val="00F66948"/>
    <w:rsid w:val="00F677A3"/>
    <w:rsid w:val="00F8747E"/>
    <w:rsid w:val="00F95723"/>
    <w:rsid w:val="00FA45CC"/>
    <w:rsid w:val="00FB720B"/>
    <w:rsid w:val="00FC36F3"/>
    <w:rsid w:val="00FE1EFF"/>
    <w:rsid w:val="00FF11F4"/>
    <w:rsid w:val="00FF4B9E"/>
    <w:rsid w:val="02482FCE"/>
    <w:rsid w:val="0420340B"/>
    <w:rsid w:val="045A7F0F"/>
    <w:rsid w:val="04642A6C"/>
    <w:rsid w:val="05F00CC6"/>
    <w:rsid w:val="079F66C6"/>
    <w:rsid w:val="09FC6597"/>
    <w:rsid w:val="0A587C0D"/>
    <w:rsid w:val="0AA45650"/>
    <w:rsid w:val="0AAB40B2"/>
    <w:rsid w:val="0C583C04"/>
    <w:rsid w:val="0D6D2259"/>
    <w:rsid w:val="0E6D45AA"/>
    <w:rsid w:val="0ED57F18"/>
    <w:rsid w:val="0F6B2242"/>
    <w:rsid w:val="121260FB"/>
    <w:rsid w:val="13BF4884"/>
    <w:rsid w:val="14846E29"/>
    <w:rsid w:val="14D753FE"/>
    <w:rsid w:val="15485429"/>
    <w:rsid w:val="16C857BB"/>
    <w:rsid w:val="1BB70B8C"/>
    <w:rsid w:val="1BBC26CD"/>
    <w:rsid w:val="1BFA0E78"/>
    <w:rsid w:val="1C6D124E"/>
    <w:rsid w:val="1CF80B25"/>
    <w:rsid w:val="1F3A4035"/>
    <w:rsid w:val="1FBE41D9"/>
    <w:rsid w:val="1FCA8900"/>
    <w:rsid w:val="228C6659"/>
    <w:rsid w:val="234D45BD"/>
    <w:rsid w:val="249735FC"/>
    <w:rsid w:val="253429ED"/>
    <w:rsid w:val="27062949"/>
    <w:rsid w:val="2807651A"/>
    <w:rsid w:val="2AFC3A7B"/>
    <w:rsid w:val="2C3EC0FF"/>
    <w:rsid w:val="2CFFB42A"/>
    <w:rsid w:val="2D6334E9"/>
    <w:rsid w:val="2DAA517A"/>
    <w:rsid w:val="2E1C63E1"/>
    <w:rsid w:val="2EDFBA52"/>
    <w:rsid w:val="2F594288"/>
    <w:rsid w:val="2FFFE300"/>
    <w:rsid w:val="30645810"/>
    <w:rsid w:val="31041BF5"/>
    <w:rsid w:val="32C60C7F"/>
    <w:rsid w:val="33402C9E"/>
    <w:rsid w:val="336750AB"/>
    <w:rsid w:val="33E43C4A"/>
    <w:rsid w:val="348A2F11"/>
    <w:rsid w:val="36050807"/>
    <w:rsid w:val="361D012C"/>
    <w:rsid w:val="36DF6AA5"/>
    <w:rsid w:val="36FE5064"/>
    <w:rsid w:val="37BEC077"/>
    <w:rsid w:val="37FB9941"/>
    <w:rsid w:val="38F60403"/>
    <w:rsid w:val="39FDFCA5"/>
    <w:rsid w:val="3AAED5ED"/>
    <w:rsid w:val="3AC4415E"/>
    <w:rsid w:val="3BFA9584"/>
    <w:rsid w:val="3D3F6549"/>
    <w:rsid w:val="3DAD4894"/>
    <w:rsid w:val="3DED6C00"/>
    <w:rsid w:val="3E7B6F01"/>
    <w:rsid w:val="3F7720B3"/>
    <w:rsid w:val="3FCF9320"/>
    <w:rsid w:val="3FE9BDB3"/>
    <w:rsid w:val="3FEBACBC"/>
    <w:rsid w:val="3FF1497E"/>
    <w:rsid w:val="40DD048A"/>
    <w:rsid w:val="421A57AA"/>
    <w:rsid w:val="42576F28"/>
    <w:rsid w:val="472B76DF"/>
    <w:rsid w:val="487B0D69"/>
    <w:rsid w:val="49045F72"/>
    <w:rsid w:val="4AF56E91"/>
    <w:rsid w:val="4B466A9F"/>
    <w:rsid w:val="4B6D5408"/>
    <w:rsid w:val="4B755146"/>
    <w:rsid w:val="4E2448D3"/>
    <w:rsid w:val="4F3BC8A6"/>
    <w:rsid w:val="4F9B273B"/>
    <w:rsid w:val="4FD863CB"/>
    <w:rsid w:val="4FFF7895"/>
    <w:rsid w:val="521D0CD3"/>
    <w:rsid w:val="524F7366"/>
    <w:rsid w:val="52F90777"/>
    <w:rsid w:val="531B4AD8"/>
    <w:rsid w:val="53BC5282"/>
    <w:rsid w:val="54024CBE"/>
    <w:rsid w:val="548E5275"/>
    <w:rsid w:val="54A557A9"/>
    <w:rsid w:val="566B000C"/>
    <w:rsid w:val="57064221"/>
    <w:rsid w:val="58DD0FB2"/>
    <w:rsid w:val="5940639E"/>
    <w:rsid w:val="59971E35"/>
    <w:rsid w:val="5BDF111D"/>
    <w:rsid w:val="5C7165E1"/>
    <w:rsid w:val="5DF6FAE9"/>
    <w:rsid w:val="5EACF0FE"/>
    <w:rsid w:val="5EC11268"/>
    <w:rsid w:val="5F576EC0"/>
    <w:rsid w:val="5F5F6BC4"/>
    <w:rsid w:val="5F7B3C5B"/>
    <w:rsid w:val="5FDF91CA"/>
    <w:rsid w:val="5FF35C69"/>
    <w:rsid w:val="609875C4"/>
    <w:rsid w:val="60CA31AE"/>
    <w:rsid w:val="6177638B"/>
    <w:rsid w:val="62BD60DC"/>
    <w:rsid w:val="644C3244"/>
    <w:rsid w:val="656E4730"/>
    <w:rsid w:val="66552ACF"/>
    <w:rsid w:val="67192989"/>
    <w:rsid w:val="677F1734"/>
    <w:rsid w:val="680B0F70"/>
    <w:rsid w:val="6816235D"/>
    <w:rsid w:val="68D6F537"/>
    <w:rsid w:val="6A03573B"/>
    <w:rsid w:val="6A2059B4"/>
    <w:rsid w:val="6B905DD2"/>
    <w:rsid w:val="6BF5A9C3"/>
    <w:rsid w:val="6C660B1D"/>
    <w:rsid w:val="6C964267"/>
    <w:rsid w:val="6CFB3D2A"/>
    <w:rsid w:val="6DEE62DB"/>
    <w:rsid w:val="6DFD79D5"/>
    <w:rsid w:val="6E330CD0"/>
    <w:rsid w:val="6E7F4CAC"/>
    <w:rsid w:val="6EBE7880"/>
    <w:rsid w:val="6F7BB795"/>
    <w:rsid w:val="6FBBE7EE"/>
    <w:rsid w:val="6FBD60BB"/>
    <w:rsid w:val="6FBFE9E3"/>
    <w:rsid w:val="6FF788D1"/>
    <w:rsid w:val="72610441"/>
    <w:rsid w:val="72DC7E77"/>
    <w:rsid w:val="72F76F6E"/>
    <w:rsid w:val="73F7A47E"/>
    <w:rsid w:val="7411333C"/>
    <w:rsid w:val="7415577E"/>
    <w:rsid w:val="74DF0B87"/>
    <w:rsid w:val="75A7EE5F"/>
    <w:rsid w:val="75C2EE36"/>
    <w:rsid w:val="76653C30"/>
    <w:rsid w:val="76D73C7E"/>
    <w:rsid w:val="77D616E6"/>
    <w:rsid w:val="78BD53BB"/>
    <w:rsid w:val="797A28FB"/>
    <w:rsid w:val="79A1178F"/>
    <w:rsid w:val="79AF370E"/>
    <w:rsid w:val="79B04D26"/>
    <w:rsid w:val="7A4D0D12"/>
    <w:rsid w:val="7AF75E14"/>
    <w:rsid w:val="7AFE50F6"/>
    <w:rsid w:val="7BB7438C"/>
    <w:rsid w:val="7BDD09F3"/>
    <w:rsid w:val="7C2B7172"/>
    <w:rsid w:val="7C6E7F5B"/>
    <w:rsid w:val="7CB5781C"/>
    <w:rsid w:val="7CDF9E32"/>
    <w:rsid w:val="7D6DFD3E"/>
    <w:rsid w:val="7D6FD26A"/>
    <w:rsid w:val="7DE93453"/>
    <w:rsid w:val="7DFF2192"/>
    <w:rsid w:val="7E730CCF"/>
    <w:rsid w:val="7EB71A3C"/>
    <w:rsid w:val="7EC57A2B"/>
    <w:rsid w:val="7EDF7275"/>
    <w:rsid w:val="7EFD1C2E"/>
    <w:rsid w:val="7F6126BB"/>
    <w:rsid w:val="7F65734D"/>
    <w:rsid w:val="7F7D79AC"/>
    <w:rsid w:val="7F7DA396"/>
    <w:rsid w:val="7FB1944D"/>
    <w:rsid w:val="7FC7FD7B"/>
    <w:rsid w:val="7FDD2A0A"/>
    <w:rsid w:val="7FE7DA8E"/>
    <w:rsid w:val="7FFBC1BE"/>
    <w:rsid w:val="7FFE0B62"/>
    <w:rsid w:val="7FFEDA0E"/>
    <w:rsid w:val="7FFF7626"/>
    <w:rsid w:val="7FFF7A94"/>
    <w:rsid w:val="7FFFD5F9"/>
    <w:rsid w:val="967FE14F"/>
    <w:rsid w:val="9D4B5CFF"/>
    <w:rsid w:val="9D4D468D"/>
    <w:rsid w:val="9F54AB89"/>
    <w:rsid w:val="9F5FB61D"/>
    <w:rsid w:val="9F7DAA4C"/>
    <w:rsid w:val="A2FEEA92"/>
    <w:rsid w:val="A5BF2043"/>
    <w:rsid w:val="AA6C6BBB"/>
    <w:rsid w:val="AADB3220"/>
    <w:rsid w:val="ABFD0468"/>
    <w:rsid w:val="AE2EE937"/>
    <w:rsid w:val="AFFBC8F7"/>
    <w:rsid w:val="AFFDF417"/>
    <w:rsid w:val="B339B176"/>
    <w:rsid w:val="B33DCDBC"/>
    <w:rsid w:val="B60F6A7F"/>
    <w:rsid w:val="B69F6431"/>
    <w:rsid w:val="B9EF30DA"/>
    <w:rsid w:val="BA7B23C6"/>
    <w:rsid w:val="BBCB8D60"/>
    <w:rsid w:val="BEBEA4D5"/>
    <w:rsid w:val="BF7E2371"/>
    <w:rsid w:val="BFAE0D50"/>
    <w:rsid w:val="BFBF15B2"/>
    <w:rsid w:val="BFFBDAE7"/>
    <w:rsid w:val="BFFD3684"/>
    <w:rsid w:val="BFFFBF9D"/>
    <w:rsid w:val="CEDDAF89"/>
    <w:rsid w:val="CF9D06C5"/>
    <w:rsid w:val="CFCFC4B2"/>
    <w:rsid w:val="CFDF59BC"/>
    <w:rsid w:val="D2E73D95"/>
    <w:rsid w:val="D3D644C0"/>
    <w:rsid w:val="D6FF9534"/>
    <w:rsid w:val="D6FFD695"/>
    <w:rsid w:val="D7BD4714"/>
    <w:rsid w:val="D7FF331B"/>
    <w:rsid w:val="D97F8632"/>
    <w:rsid w:val="DBFF5318"/>
    <w:rsid w:val="DDD8ADD4"/>
    <w:rsid w:val="DDFF421B"/>
    <w:rsid w:val="DEBF8AAD"/>
    <w:rsid w:val="DF8BD432"/>
    <w:rsid w:val="DFAE7F8B"/>
    <w:rsid w:val="DFC7640A"/>
    <w:rsid w:val="DFD3C7A6"/>
    <w:rsid w:val="DFDBA16B"/>
    <w:rsid w:val="DFE34BAC"/>
    <w:rsid w:val="DFEF0319"/>
    <w:rsid w:val="E4FFE45D"/>
    <w:rsid w:val="E5BDE9AC"/>
    <w:rsid w:val="E77D7CFF"/>
    <w:rsid w:val="ECF5C129"/>
    <w:rsid w:val="ECFDF75B"/>
    <w:rsid w:val="EFE77654"/>
    <w:rsid w:val="EFFDBA14"/>
    <w:rsid w:val="F0B5F430"/>
    <w:rsid w:val="F7DD3FA2"/>
    <w:rsid w:val="F7DDE6AC"/>
    <w:rsid w:val="F7EDE921"/>
    <w:rsid w:val="F7FB7987"/>
    <w:rsid w:val="F9F7720A"/>
    <w:rsid w:val="FAF9E54B"/>
    <w:rsid w:val="FB7CEEFB"/>
    <w:rsid w:val="FB7FCABF"/>
    <w:rsid w:val="FBFDDA6C"/>
    <w:rsid w:val="FDBE6ABE"/>
    <w:rsid w:val="FDC908C7"/>
    <w:rsid w:val="FDFD8099"/>
    <w:rsid w:val="FDFF05D9"/>
    <w:rsid w:val="FDFF59EB"/>
    <w:rsid w:val="FE3F5DCF"/>
    <w:rsid w:val="FE734873"/>
    <w:rsid w:val="FEEF172F"/>
    <w:rsid w:val="FEFCC9D1"/>
    <w:rsid w:val="FF2FEB27"/>
    <w:rsid w:val="FF7DAF46"/>
    <w:rsid w:val="FF7FAABB"/>
    <w:rsid w:val="FF7FB008"/>
    <w:rsid w:val="FF954053"/>
    <w:rsid w:val="FFB3E288"/>
    <w:rsid w:val="FFBB71DE"/>
    <w:rsid w:val="FFD54011"/>
    <w:rsid w:val="FFE70B5C"/>
    <w:rsid w:val="FFED4512"/>
    <w:rsid w:val="FFEF557C"/>
    <w:rsid w:val="FFEF94C6"/>
    <w:rsid w:val="FFF37D69"/>
    <w:rsid w:val="FFF7DEB9"/>
    <w:rsid w:val="FFFE4A25"/>
    <w:rsid w:val="FFFEB897"/>
    <w:rsid w:val="FFFF7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100" w:beforeLines="0" w:beforeAutospacing="1" w:after="120" w:afterLines="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eastAsia="宋体"/>
      <w:kern w:val="0"/>
      <w:sz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3"/>
    <w:semiHidden/>
    <w:qFormat/>
    <w:uiPriority w:val="99"/>
    <w:rPr>
      <w:rFonts w:ascii="Times New Roman" w:hAnsi="Times New Roman" w:eastAsia="仿宋_GB2312" w:cs="Times New Roman"/>
      <w:sz w:val="18"/>
      <w:szCs w:val="18"/>
    </w:rPr>
  </w:style>
  <w:style w:type="character" w:customStyle="1" w:styleId="11">
    <w:name w:val="页眉 Char"/>
    <w:basedOn w:val="8"/>
    <w:link w:val="5"/>
    <w:qFormat/>
    <w:uiPriority w:val="99"/>
    <w:rPr>
      <w:rFonts w:ascii="Times New Roman" w:hAnsi="Times New Roman" w:eastAsia="仿宋_GB2312" w:cs="Times New Roman"/>
      <w:sz w:val="18"/>
      <w:szCs w:val="18"/>
    </w:rPr>
  </w:style>
  <w:style w:type="character" w:customStyle="1" w:styleId="12">
    <w:name w:val="页脚 Char"/>
    <w:basedOn w:val="8"/>
    <w:link w:val="4"/>
    <w:qFormat/>
    <w:uiPriority w:val="99"/>
    <w:rPr>
      <w:rFonts w:ascii="Times New Roman" w:hAnsi="Times New Roman" w:eastAsia="仿宋_GB2312" w:cs="Times New Roman"/>
      <w:sz w:val="18"/>
      <w:szCs w:val="18"/>
    </w:rPr>
  </w:style>
  <w:style w:type="character" w:customStyle="1" w:styleId="13">
    <w:name w:val="font01"/>
    <w:basedOn w:val="8"/>
    <w:qFormat/>
    <w:uiPriority w:val="0"/>
    <w:rPr>
      <w:rFonts w:hint="eastAsia" w:ascii="宋体" w:hAnsi="宋体" w:eastAsia="宋体" w:cs="宋体"/>
      <w:color w:val="000000"/>
      <w:sz w:val="18"/>
      <w:szCs w:val="18"/>
      <w:u w:val="none"/>
    </w:rPr>
  </w:style>
  <w:style w:type="character" w:customStyle="1" w:styleId="14">
    <w:name w:val="Other|1_"/>
    <w:basedOn w:val="8"/>
    <w:link w:val="15"/>
    <w:qFormat/>
    <w:uiPriority w:val="0"/>
    <w:rPr>
      <w:rFonts w:ascii="宋体" w:hAnsi="宋体" w:eastAsia="宋体" w:cs="宋体"/>
      <w:sz w:val="20"/>
      <w:szCs w:val="20"/>
      <w:lang w:val="zh-TW" w:eastAsia="zh-TW" w:bidi="zh-TW"/>
    </w:rPr>
  </w:style>
  <w:style w:type="paragraph" w:customStyle="1" w:styleId="15">
    <w:name w:val="Other|1"/>
    <w:basedOn w:val="1"/>
    <w:link w:val="14"/>
    <w:qFormat/>
    <w:uiPriority w:val="0"/>
    <w:pPr>
      <w:jc w:val="left"/>
    </w:pPr>
    <w:rPr>
      <w:rFonts w:ascii="宋体" w:hAnsi="宋体" w:eastAsia="宋体" w:cs="宋体"/>
      <w:sz w:val="20"/>
      <w:szCs w:val="20"/>
      <w:lang w:val="zh-TW" w:eastAsia="zh-TW" w:bidi="zh-TW"/>
    </w:rPr>
  </w:style>
  <w:style w:type="paragraph" w:customStyle="1" w:styleId="16">
    <w:name w:val="Heading #2|1"/>
    <w:basedOn w:val="1"/>
    <w:qFormat/>
    <w:uiPriority w:val="0"/>
    <w:pPr>
      <w:widowControl w:val="0"/>
      <w:shd w:val="clear" w:color="auto" w:fill="auto"/>
      <w:spacing w:after="550" w:line="266" w:lineRule="auto"/>
      <w:jc w:val="center"/>
      <w:outlineLvl w:val="1"/>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13768</Words>
  <Characters>14052</Characters>
  <Lines>171</Lines>
  <Paragraphs>48</Paragraphs>
  <TotalTime>21</TotalTime>
  <ScaleCrop>false</ScaleCrop>
  <LinksUpToDate>false</LinksUpToDate>
  <CharactersWithSpaces>14873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2020-12-06T02:51:00Z</dcterms:created>
  <dc:creator>Users</dc:creator>
  <cp:lastModifiedBy>administrator</cp:lastModifiedBy>
  <cp:lastPrinted>2022-11-08T09:27:00Z</cp:lastPrinted>
  <dcterms:modified xsi:type="dcterms:W3CDTF">2022-11-08T11:22:36Z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BC3797E4AD724A849534ACA8C9A04DF9</vt:lpwstr>
  </property>
</Properties>
</file>