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微软雅黑" w:hAnsi="微软雅黑" w:eastAsia="微软雅黑" w:cs="微软雅黑"/>
          <w:i w:val="0"/>
          <w:iCs w:val="0"/>
          <w:caps w:val="0"/>
          <w:spacing w:val="8"/>
          <w:sz w:val="33"/>
          <w:szCs w:val="33"/>
        </w:rPr>
      </w:pPr>
      <w:bookmarkStart w:id="0" w:name="_GoBack"/>
      <w:r>
        <w:rPr>
          <w:rFonts w:hint="eastAsia" w:ascii="微软雅黑" w:hAnsi="微软雅黑" w:eastAsia="微软雅黑" w:cs="微软雅黑"/>
          <w:i w:val="0"/>
          <w:iCs w:val="0"/>
          <w:caps w:val="0"/>
          <w:spacing w:val="8"/>
          <w:sz w:val="33"/>
          <w:szCs w:val="33"/>
          <w:bdr w:val="none" w:color="auto" w:sz="0" w:space="0"/>
          <w:shd w:val="clear" w:fill="FFFFFF"/>
        </w:rPr>
        <w:t>获嘉县召开城市更新重点项目工作推进会</w:t>
      </w:r>
    </w:p>
    <w:bookmarkEnd w:id="0"/>
    <w:p>
      <w:pPr>
        <w:rPr>
          <w:rFonts w:hint="eastAsia" w:eastAsiaTheme="minorEastAsia"/>
          <w:lang w:eastAsia="zh-CN"/>
        </w:rPr>
      </w:pPr>
      <w:r>
        <w:rPr>
          <w:rFonts w:hint="eastAsia" w:eastAsiaTheme="minorEastAsia"/>
          <w:lang w:eastAsia="zh-CN"/>
        </w:rPr>
        <w:drawing>
          <wp:inline distT="0" distB="0" distL="114300" distR="114300">
            <wp:extent cx="5266690" cy="2964815"/>
            <wp:effectExtent l="0" t="0" r="10160" b="6985"/>
            <wp:docPr id="1" name="图片 1" descr="94ab2cb2f5039160665a9635e8953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4ab2cb2f5039160665a9635e89537ed"/>
                    <pic:cNvPicPr>
                      <a:picLocks noChangeAspect="1"/>
                    </pic:cNvPicPr>
                  </pic:nvPicPr>
                  <pic:blipFill>
                    <a:blip r:embed="rId4"/>
                    <a:stretch>
                      <a:fillRect/>
                    </a:stretch>
                  </pic:blipFill>
                  <pic:spPr>
                    <a:xfrm>
                      <a:off x="0" y="0"/>
                      <a:ext cx="5266690" cy="2964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仿宋" w:hAnsi="仿宋" w:eastAsia="仿宋" w:cs="仿宋"/>
          <w:i w:val="0"/>
          <w:iCs w:val="0"/>
          <w:caps w:val="0"/>
          <w:color w:val="3E3E3E"/>
          <w:spacing w:val="8"/>
          <w:sz w:val="32"/>
          <w:szCs w:val="32"/>
          <w:shd w:val="clear" w:fill="FFFFFF"/>
          <w:lang w:eastAsia="zh-CN"/>
        </w:rPr>
      </w:pPr>
      <w:r>
        <w:rPr>
          <w:rFonts w:hint="eastAsia" w:ascii="仿宋" w:hAnsi="仿宋" w:eastAsia="仿宋" w:cs="仿宋"/>
          <w:i w:val="0"/>
          <w:iCs w:val="0"/>
          <w:caps w:val="0"/>
          <w:color w:val="3E3E3E"/>
          <w:spacing w:val="8"/>
          <w:sz w:val="32"/>
          <w:szCs w:val="32"/>
          <w:shd w:val="clear" w:fill="FFFFFF"/>
        </w:rPr>
        <w:t>2月13日，我县召开城市更新重点项目工作推进会</w:t>
      </w:r>
      <w:r>
        <w:rPr>
          <w:rFonts w:hint="eastAsia" w:ascii="仿宋" w:hAnsi="仿宋" w:eastAsia="仿宋" w:cs="仿宋"/>
          <w:i w:val="0"/>
          <w:iCs w:val="0"/>
          <w:caps w:val="0"/>
          <w:color w:val="3E3E3E"/>
          <w:spacing w:val="8"/>
          <w:sz w:val="32"/>
          <w:szCs w:val="32"/>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仿宋" w:hAnsi="仿宋" w:eastAsia="仿宋" w:cs="仿宋"/>
          <w:i w:val="0"/>
          <w:iCs w:val="0"/>
          <w:caps w:val="0"/>
          <w:color w:val="3E3E3E"/>
          <w:spacing w:val="8"/>
          <w:sz w:val="32"/>
          <w:szCs w:val="32"/>
          <w:shd w:val="clear" w:fill="FFFFFF"/>
          <w:lang w:val="en-US" w:eastAsia="zh-CN"/>
        </w:rPr>
      </w:pPr>
      <w:r>
        <w:rPr>
          <w:rFonts w:hint="eastAsia" w:ascii="仿宋" w:hAnsi="仿宋" w:eastAsia="仿宋" w:cs="仿宋"/>
          <w:i w:val="0"/>
          <w:iCs w:val="0"/>
          <w:caps w:val="0"/>
          <w:color w:val="3E3E3E"/>
          <w:spacing w:val="8"/>
          <w:sz w:val="32"/>
          <w:szCs w:val="32"/>
          <w:shd w:val="clear" w:fill="FFFFFF"/>
        </w:rPr>
        <w:t>会上，县住建局负责人通报了项目概况和相关配合单位职责；河南省嘉德建设工程有限公司、河南翔宇建设有限公司、河南琛炳建筑有限公司三个项目施工总包单位负责人进行了表态发言；新水水务有限公司、县供电公司、金鹏燃气有限公司等相关配合单位进行了讨论发言。</w:t>
      </w:r>
    </w:p>
    <w:p>
      <w:pPr>
        <w:rPr>
          <w:rFonts w:hint="eastAsia" w:ascii="微软雅黑" w:hAnsi="微软雅黑" w:eastAsia="微软雅黑" w:cs="微软雅黑"/>
          <w:i w:val="0"/>
          <w:iCs w:val="0"/>
          <w:caps w:val="0"/>
          <w:spacing w:val="8"/>
          <w:sz w:val="25"/>
          <w:szCs w:val="25"/>
          <w:shd w:val="clear" w:fill="FFFFFF"/>
          <w:lang w:val="en-US" w:eastAsia="zh-CN"/>
        </w:rPr>
      </w:pPr>
      <w:r>
        <w:rPr>
          <w:rFonts w:hint="eastAsia" w:ascii="微软雅黑" w:hAnsi="微软雅黑" w:eastAsia="微软雅黑" w:cs="微软雅黑"/>
          <w:i w:val="0"/>
          <w:iCs w:val="0"/>
          <w:caps w:val="0"/>
          <w:spacing w:val="8"/>
          <w:sz w:val="25"/>
          <w:szCs w:val="25"/>
          <w:shd w:val="clear" w:fill="FFFFFF"/>
          <w:lang w:val="en-US" w:eastAsia="zh-CN"/>
        </w:rPr>
        <w:drawing>
          <wp:inline distT="0" distB="0" distL="114300" distR="114300">
            <wp:extent cx="5266690" cy="2964815"/>
            <wp:effectExtent l="0" t="0" r="10160" b="6985"/>
            <wp:docPr id="2" name="图片 2" descr="b46062a9c47e98d6a52cb17376cdb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46062a9c47e98d6a52cb17376cdbf47"/>
                    <pic:cNvPicPr>
                      <a:picLocks noChangeAspect="1"/>
                    </pic:cNvPicPr>
                  </pic:nvPicPr>
                  <pic:blipFill>
                    <a:blip r:embed="rId5"/>
                    <a:stretch>
                      <a:fillRect/>
                    </a:stretch>
                  </pic:blipFill>
                  <pic:spPr>
                    <a:xfrm>
                      <a:off x="0" y="0"/>
                      <a:ext cx="5266690" cy="2964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仿宋" w:hAnsi="仿宋" w:eastAsia="仿宋" w:cs="仿宋"/>
          <w:i w:val="0"/>
          <w:iCs w:val="0"/>
          <w:caps w:val="0"/>
          <w:color w:val="3E3E3E"/>
          <w:spacing w:val="8"/>
          <w:sz w:val="32"/>
          <w:szCs w:val="32"/>
          <w:shd w:val="clear" w:fill="FFFFFF"/>
        </w:rPr>
      </w:pPr>
      <w:r>
        <w:rPr>
          <w:rFonts w:hint="eastAsia" w:ascii="仿宋" w:hAnsi="仿宋" w:eastAsia="仿宋" w:cs="仿宋"/>
          <w:i w:val="0"/>
          <w:iCs w:val="0"/>
          <w:caps w:val="0"/>
          <w:color w:val="3E3E3E"/>
          <w:spacing w:val="8"/>
          <w:sz w:val="32"/>
          <w:szCs w:val="32"/>
          <w:shd w:val="clear" w:fill="FFFFFF"/>
        </w:rPr>
        <w:t>就加快推进城市更新重点项目建设工作，县委常委、政法委书记李学良指出，各级各部门要始终坚持问题导向、目标导向，针对当前存在的主要问题，要通过建立工作台账，明确完成时限，倒排工期、对账销号，确保项目建设按照时间节点和进度要求高效有序推进。施工单位要进一步强化安全生产红线意识和底线思维，提高对安全生产重要性的认识，完善制度、强化责任，切实把安全生产落到实处，同时要强化施工管理，严把工程质量，努力建设精品工程，把工程建设对城市环境的影响降到最小，维护城市运行的正常秩序。</w:t>
      </w: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仿宋" w:hAnsi="仿宋" w:eastAsia="仿宋" w:cs="仿宋"/>
          <w:i w:val="0"/>
          <w:iCs w:val="0"/>
          <w:caps w:val="0"/>
          <w:color w:val="3E3E3E"/>
          <w:spacing w:val="8"/>
          <w:sz w:val="32"/>
          <w:szCs w:val="32"/>
          <w:shd w:val="clear" w:fill="FFFFFF"/>
          <w:lang w:val="en-US" w:eastAsia="zh-CN"/>
        </w:rPr>
      </w:pPr>
      <w:r>
        <w:rPr>
          <w:rFonts w:hint="eastAsia" w:ascii="仿宋" w:hAnsi="仿宋" w:eastAsia="仿宋" w:cs="仿宋"/>
          <w:i w:val="0"/>
          <w:iCs w:val="0"/>
          <w:caps w:val="0"/>
          <w:spacing w:val="8"/>
          <w:sz w:val="32"/>
          <w:szCs w:val="32"/>
          <w:shd w:val="clear" w:fill="FFFFFF"/>
        </w:rPr>
        <w:t>各乡镇、各部门要进一步增强大局意识、服务意识、责任意识和协作意识，积极对接、主动作为，真正做到一盘棋、一条心、一股劲，全力促进我县经济社会发展提质提速提效，为全县人民交出一份满意的答卷。</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4Y2U4MTAzMTU4OWI1MDI1NTdjMWVmYjg0MTMxY2EifQ=="/>
  </w:docVars>
  <w:rsids>
    <w:rsidRoot w:val="00000000"/>
    <w:rsid w:val="6B903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2023-11-22T02:25:37Z</dcterms:created>
  <dc:creator>Administrator</dc:creator>
  <cp:lastModifiedBy>行胜于言</cp:lastModifiedBy>
  <dcterms:modified xsi:type="dcterms:W3CDTF">2023-11-22T02:27:39Z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FB530ED23A8F4CC2867D22CE2754E7EF_12</vt:lpwstr>
  </property>
</Properties>
</file>