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beforeAutospacing="0" w:after="0" w:afterAutospacing="0" w:line="520" w:lineRule="exact"/>
        <w:ind w:firstLine="602"/>
        <w:jc w:val="center"/>
        <w:outlineLvl w:val="0"/>
        <w:rPr>
          <w:rFonts w:hint="eastAsia" w:ascii="Times New Roman" w:hAnsi="Times New Roman"/>
          <w:b/>
          <w:bCs/>
          <w:snapToGrid w:val="0"/>
          <w:color w:val="000000" w:themeColor="text1"/>
          <w:sz w:val="30"/>
          <w:szCs w:val="30"/>
          <w14:textFill>
            <w14:solidFill>
              <w14:schemeClr w14:val="tx1"/>
            </w14:solidFill>
          </w14:textFill>
        </w:rPr>
      </w:pPr>
    </w:p>
    <w:p>
      <w:pPr>
        <w:rPr>
          <w:rFonts w:hint="eastAsia"/>
          <w:b/>
          <w:bCs/>
          <w:snapToGrid w:val="0"/>
          <w:color w:val="000000" w:themeColor="text1"/>
          <w:kern w:val="0"/>
          <w:sz w:val="30"/>
          <w:szCs w:val="30"/>
          <w14:textFill>
            <w14:solidFill>
              <w14:schemeClr w14:val="tx1"/>
            </w14:solidFill>
          </w14:textFill>
        </w:rPr>
      </w:pPr>
      <w:r>
        <w:drawing>
          <wp:inline distT="0" distB="0" distL="0" distR="0">
            <wp:extent cx="5600700" cy="787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
                    <a:stretch>
                      <a:fillRect/>
                    </a:stretch>
                  </pic:blipFill>
                  <pic:spPr>
                    <a:xfrm>
                      <a:off x="0" y="0"/>
                      <a:ext cx="5600700" cy="7877175"/>
                    </a:xfrm>
                    <a:prstGeom prst="rect">
                      <a:avLst/>
                    </a:prstGeom>
                  </pic:spPr>
                </pic:pic>
              </a:graphicData>
            </a:graphic>
          </wp:inline>
        </w:drawing>
      </w:r>
      <w:r>
        <w:rPr>
          <w:b/>
          <w:bCs/>
          <w:snapToGrid w:val="0"/>
          <w:color w:val="000000" w:themeColor="text1"/>
          <w:sz w:val="30"/>
          <w:szCs w:val="30"/>
          <w14:textFill>
            <w14:solidFill>
              <w14:schemeClr w14:val="tx1"/>
            </w14:solidFill>
          </w14:textFill>
        </w:rPr>
        <w:br w:type="page"/>
      </w:r>
    </w:p>
    <w:p>
      <w:pPr>
        <w:rPr>
          <w:b/>
          <w:bCs/>
          <w:snapToGrid w:val="0"/>
          <w:color w:val="000000" w:themeColor="text1"/>
          <w:sz w:val="30"/>
          <w:szCs w:val="30"/>
          <w14:textFill>
            <w14:solidFill>
              <w14:schemeClr w14:val="tx1"/>
            </w14:solidFill>
          </w14:textFill>
        </w:rPr>
      </w:pPr>
      <w:r>
        <w:drawing>
          <wp:inline distT="0" distB="0" distL="0" distR="0">
            <wp:extent cx="5615940" cy="7962265"/>
            <wp:effectExtent l="0" t="0" r="381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5940" cy="7962265"/>
                    </a:xfrm>
                    <a:prstGeom prst="rect">
                      <a:avLst/>
                    </a:prstGeom>
                    <a:noFill/>
                    <a:ln>
                      <a:noFill/>
                    </a:ln>
                  </pic:spPr>
                </pic:pic>
              </a:graphicData>
            </a:graphic>
          </wp:inline>
        </w:drawing>
      </w:r>
      <w:r>
        <w:drawing>
          <wp:inline distT="0" distB="0" distL="0" distR="0">
            <wp:extent cx="5615940" cy="73456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5615940" cy="7345680"/>
                    </a:xfrm>
                    <a:prstGeom prst="rect">
                      <a:avLst/>
                    </a:prstGeom>
                  </pic:spPr>
                </pic:pic>
              </a:graphicData>
            </a:graphic>
          </wp:inline>
        </w:drawing>
      </w:r>
      <w:r>
        <w:rPr>
          <w:b/>
          <w:bCs/>
          <w:snapToGrid w:val="0"/>
          <w:color w:val="000000" w:themeColor="text1"/>
          <w:sz w:val="30"/>
          <w:szCs w:val="30"/>
          <w14:textFill>
            <w14:solidFill>
              <w14:schemeClr w14:val="tx1"/>
            </w14:solidFill>
          </w14:textFill>
        </w:rPr>
        <w:br w:type="page"/>
      </w:r>
    </w:p>
    <w:p>
      <w:pPr>
        <w:rPr>
          <w:b/>
          <w:bCs/>
          <w:snapToGrid w:val="0"/>
          <w:color w:val="000000" w:themeColor="text1"/>
          <w:sz w:val="30"/>
          <w:szCs w:val="30"/>
          <w14:textFill>
            <w14:solidFill>
              <w14:schemeClr w14:val="tx1"/>
            </w14:solidFill>
          </w14:textFill>
        </w:rPr>
        <w:sectPr>
          <w:footerReference r:id="rId3" w:type="default"/>
          <w:pgSz w:w="11906" w:h="16838"/>
          <w:pgMar w:top="1701" w:right="1531" w:bottom="1701" w:left="1531" w:header="851" w:footer="1077" w:gutter="0"/>
          <w:cols w:space="720" w:num="1"/>
          <w:docGrid w:linePitch="312" w:charSpace="0"/>
        </w:sectPr>
      </w:pPr>
      <w:r>
        <w:rPr>
          <w:b/>
          <w:bCs/>
          <w:snapToGrid w:val="0"/>
          <w:color w:val="000000" w:themeColor="text1"/>
          <w:sz w:val="30"/>
          <w:szCs w:val="30"/>
          <w14:textFill>
            <w14:solidFill>
              <w14:schemeClr w14:val="tx1"/>
            </w14:solidFill>
          </w14:textFill>
        </w:rPr>
        <w:drawing>
          <wp:inline distT="0" distB="0" distL="114300" distR="114300">
            <wp:extent cx="10427335" cy="7087870"/>
            <wp:effectExtent l="0" t="0" r="12065" b="17780"/>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pic:cNvPicPr>
                  </pic:nvPicPr>
                  <pic:blipFill>
                    <a:blip r:embed="rId9"/>
                    <a:stretch>
                      <a:fillRect/>
                    </a:stretch>
                  </pic:blipFill>
                  <pic:spPr>
                    <a:xfrm>
                      <a:off x="0" y="0"/>
                      <a:ext cx="10427335" cy="7087870"/>
                    </a:xfrm>
                    <a:prstGeom prst="rect">
                      <a:avLst/>
                    </a:prstGeom>
                  </pic:spPr>
                </pic:pic>
              </a:graphicData>
            </a:graphic>
          </wp:inline>
        </w:drawing>
      </w:r>
      <w:r>
        <w:rPr>
          <w:b/>
          <w:bCs/>
          <w:snapToGrid w:val="0"/>
          <w:color w:val="000000" w:themeColor="text1"/>
          <w:sz w:val="30"/>
          <w:szCs w:val="30"/>
          <w14:textFill>
            <w14:solidFill>
              <w14:schemeClr w14:val="tx1"/>
            </w14:solidFill>
          </w14:textFill>
        </w:rPr>
        <w:br w:type="page"/>
      </w:r>
    </w:p>
    <w:p>
      <w:pPr>
        <w:rPr>
          <w:rFonts w:hint="eastAsia" w:eastAsia="宋体"/>
          <w:b/>
          <w:bCs/>
          <w:snapToGrid w:val="0"/>
          <w:color w:val="000000" w:themeColor="text1"/>
          <w:kern w:val="0"/>
          <w:sz w:val="30"/>
          <w:szCs w:val="30"/>
          <w:lang w:eastAsia="zh-CN"/>
          <w14:textFill>
            <w14:solidFill>
              <w14:schemeClr w14:val="tx1"/>
            </w14:solidFill>
          </w14:textFill>
        </w:rPr>
        <w:sectPr>
          <w:pgSz w:w="16838" w:h="11906" w:orient="landscape"/>
          <w:pgMar w:top="1531" w:right="1701" w:bottom="1531" w:left="1701" w:header="851" w:footer="1077" w:gutter="0"/>
          <w:cols w:space="720" w:num="1"/>
          <w:docGrid w:linePitch="312" w:charSpace="0"/>
        </w:sectPr>
      </w:pPr>
      <w:r>
        <w:rPr>
          <w:rFonts w:hint="eastAsia" w:eastAsia="宋体"/>
          <w:b/>
          <w:bCs/>
          <w:snapToGrid w:val="0"/>
          <w:color w:val="000000" w:themeColor="text1"/>
          <w:kern w:val="0"/>
          <w:sz w:val="30"/>
          <w:szCs w:val="30"/>
          <w:lang w:eastAsia="zh-CN"/>
          <w14:textFill>
            <w14:solidFill>
              <w14:schemeClr w14:val="tx1"/>
            </w14:solidFill>
          </w14:textFill>
        </w:rPr>
        <w:drawing>
          <wp:inline distT="0" distB="0" distL="114300" distR="114300">
            <wp:extent cx="10404475" cy="5852160"/>
            <wp:effectExtent l="0" t="0" r="15875" b="15240"/>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
                    <pic:cNvPicPr>
                      <a:picLocks noChangeAspect="1"/>
                    </pic:cNvPicPr>
                  </pic:nvPicPr>
                  <pic:blipFill>
                    <a:blip r:embed="rId10"/>
                    <a:stretch>
                      <a:fillRect/>
                    </a:stretch>
                  </pic:blipFill>
                  <pic:spPr>
                    <a:xfrm>
                      <a:off x="0" y="0"/>
                      <a:ext cx="10404475" cy="5852160"/>
                    </a:xfrm>
                    <a:prstGeom prst="rect">
                      <a:avLst/>
                    </a:prstGeom>
                  </pic:spPr>
                </pic:pic>
              </a:graphicData>
            </a:graphic>
          </wp:inline>
        </w:drawing>
      </w:r>
    </w:p>
    <w:p>
      <w:pPr>
        <w:rPr>
          <w:b/>
          <w:bCs/>
          <w:snapToGrid w:val="0"/>
          <w:color w:val="000000" w:themeColor="text1"/>
          <w:kern w:val="0"/>
          <w:sz w:val="30"/>
          <w:szCs w:val="30"/>
          <w14:textFill>
            <w14:solidFill>
              <w14:schemeClr w14:val="tx1"/>
            </w14:solidFill>
          </w14:textFill>
        </w:rPr>
      </w:pPr>
    </w:p>
    <w:p>
      <w:pPr>
        <w:pStyle w:val="14"/>
        <w:spacing w:before="0" w:beforeAutospacing="0" w:after="0" w:afterAutospacing="0" w:line="520" w:lineRule="exact"/>
        <w:ind w:firstLine="602"/>
        <w:jc w:val="center"/>
        <w:outlineLvl w:val="0"/>
        <w:rPr>
          <w:rFonts w:ascii="Times New Roman" w:hAnsi="Times New Roman"/>
          <w:b/>
          <w:bCs/>
          <w:snapToGrid w:val="0"/>
          <w:color w:val="000000" w:themeColor="text1"/>
          <w:sz w:val="30"/>
          <w:szCs w:val="30"/>
          <w14:textFill>
            <w14:solidFill>
              <w14:schemeClr w14:val="tx1"/>
            </w14:solidFill>
          </w14:textFill>
        </w:rPr>
      </w:pPr>
    </w:p>
    <w:p>
      <w:pPr>
        <w:rPr>
          <w:b/>
          <w:bCs/>
          <w:snapToGrid w:val="0"/>
          <w:color w:val="000000" w:themeColor="text1"/>
          <w:kern w:val="0"/>
          <w:sz w:val="30"/>
          <w:szCs w:val="30"/>
          <w14:textFill>
            <w14:solidFill>
              <w14:schemeClr w14:val="tx1"/>
            </w14:solidFill>
          </w14:textFill>
        </w:rPr>
      </w:pPr>
      <w:r>
        <w:drawing>
          <wp:inline distT="0" distB="0" distL="0" distR="0">
            <wp:extent cx="5615940" cy="737044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615940" cy="7370588"/>
                    </a:xfrm>
                    <a:prstGeom prst="rect">
                      <a:avLst/>
                    </a:prstGeom>
                  </pic:spPr>
                </pic:pic>
              </a:graphicData>
            </a:graphic>
          </wp:inline>
        </w:drawing>
      </w:r>
      <w:r>
        <w:rPr>
          <w:b/>
          <w:bCs/>
          <w:snapToGrid w:val="0"/>
          <w:color w:val="000000" w:themeColor="text1"/>
          <w:sz w:val="30"/>
          <w:szCs w:val="30"/>
          <w14:textFill>
            <w14:solidFill>
              <w14:schemeClr w14:val="tx1"/>
            </w14:solidFill>
          </w14:textFill>
        </w:rPr>
        <w:br w:type="page"/>
      </w:r>
    </w:p>
    <w:p>
      <w:pPr>
        <w:pStyle w:val="14"/>
        <w:spacing w:before="0" w:beforeAutospacing="0" w:after="0" w:afterAutospacing="0" w:line="520" w:lineRule="exact"/>
        <w:ind w:firstLine="602"/>
        <w:jc w:val="center"/>
        <w:outlineLvl w:val="0"/>
        <w:rPr>
          <w:rFonts w:ascii="Times New Roman" w:hAnsi="Times New Roman"/>
          <w:b/>
          <w:bCs/>
          <w:snapToGrid w:val="0"/>
          <w:color w:val="000000" w:themeColor="text1"/>
          <w:sz w:val="30"/>
          <w:szCs w:val="30"/>
          <w14:textFill>
            <w14:solidFill>
              <w14:schemeClr w14:val="tx1"/>
            </w14:solidFill>
          </w14:textFill>
        </w:rPr>
      </w:pPr>
    </w:p>
    <w:p>
      <w:pPr>
        <w:rPr>
          <w:b/>
          <w:bCs/>
          <w:snapToGrid w:val="0"/>
          <w:color w:val="000000" w:themeColor="text1"/>
          <w:kern w:val="0"/>
          <w:sz w:val="30"/>
          <w:szCs w:val="30"/>
          <w14:textFill>
            <w14:solidFill>
              <w14:schemeClr w14:val="tx1"/>
            </w14:solidFill>
          </w14:textFill>
        </w:rPr>
      </w:pPr>
      <w:r>
        <w:drawing>
          <wp:inline distT="0" distB="0" distL="0" distR="0">
            <wp:extent cx="5370830" cy="743775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371429" cy="7438095"/>
                    </a:xfrm>
                    <a:prstGeom prst="rect">
                      <a:avLst/>
                    </a:prstGeom>
                  </pic:spPr>
                </pic:pic>
              </a:graphicData>
            </a:graphic>
          </wp:inline>
        </w:drawing>
      </w:r>
      <w:r>
        <w:rPr>
          <w:b/>
          <w:bCs/>
          <w:snapToGrid w:val="0"/>
          <w:color w:val="000000" w:themeColor="text1"/>
          <w:sz w:val="30"/>
          <w:szCs w:val="30"/>
          <w14:textFill>
            <w14:solidFill>
              <w14:schemeClr w14:val="tx1"/>
            </w14:solidFill>
          </w14:textFill>
        </w:rPr>
        <w:br w:type="page"/>
      </w:r>
    </w:p>
    <w:p>
      <w:pPr>
        <w:pStyle w:val="14"/>
        <w:spacing w:before="0" w:beforeAutospacing="0" w:after="0" w:afterAutospacing="0" w:line="520" w:lineRule="exact"/>
        <w:ind w:firstLine="602"/>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一、建设项目基本情况</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39"/>
        <w:gridCol w:w="2125"/>
        <w:gridCol w:w="1843"/>
        <w:gridCol w:w="27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3794" w:type="pct"/>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年产16万立方米装配式预制构件、年产20万吨连续式泡沫沥青厂拌新型材料项目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3794" w:type="pct"/>
            <w:gridSpan w:val="3"/>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198"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103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557"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3794" w:type="pct"/>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新乡市获嘉县太山镇罗旗营村西南角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3794" w:type="pct"/>
            <w:gridSpan w:val="3"/>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（经度：</w:t>
            </w:r>
            <w:r>
              <w:rPr>
                <w:color w:val="000000" w:themeColor="text1"/>
                <w:sz w:val="24"/>
                <w:u w:val="single"/>
                <w14:textFill>
                  <w14:solidFill>
                    <w14:schemeClr w14:val="tx1"/>
                  </w14:solidFill>
                </w14:textFill>
              </w:rPr>
              <w:t>114°40′6.60″</w:t>
            </w:r>
            <w:r>
              <w:rPr>
                <w:color w:val="000000" w:themeColor="text1"/>
                <w:sz w:val="24"/>
                <w14:textFill>
                  <w14:solidFill>
                    <w14:schemeClr w14:val="tx1"/>
                  </w14:solidFill>
                </w14:textFill>
              </w:rPr>
              <w:t>，纬度：</w:t>
            </w:r>
            <w:r>
              <w:rPr>
                <w:color w:val="000000" w:themeColor="text1"/>
                <w:sz w:val="24"/>
                <w:u w:val="single"/>
                <w14:textFill>
                  <w14:solidFill>
                    <w14:schemeClr w14:val="tx1"/>
                  </w14:solidFill>
                </w14:textFill>
              </w:rPr>
              <w:t>35°12′2.36″</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19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C3022砼结构构件制造</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C3099其他非金属矿物制品制造</w:t>
            </w:r>
          </w:p>
        </w:tc>
        <w:tc>
          <w:tcPr>
            <w:tcW w:w="1039" w:type="pct"/>
            <w:vAlign w:val="center"/>
          </w:tcPr>
          <w:p>
            <w:pPr>
              <w:adjustRightInd w:val="0"/>
              <w:snapToGrid w:val="0"/>
              <w:jc w:val="center"/>
              <w:rPr>
                <w:color w:val="000000" w:themeColor="text1"/>
                <w:sz w:val="24"/>
                <w14:textFill>
                  <w14:solidFill>
                    <w14:schemeClr w14:val="tx1"/>
                  </w14:solidFill>
                </w14:textFill>
              </w:rPr>
            </w:pPr>
            <w:bookmarkStart w:id="0"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0"/>
          </w:p>
        </w:tc>
        <w:tc>
          <w:tcPr>
            <w:tcW w:w="1557" w:type="pct"/>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二十七、非金属矿物制品业 55石膏、水泥制品及类似制品制造 302砼结构构件制造；石墨及其他非金属矿物制品制造 309 其他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198" w:type="pct"/>
            <w:vAlign w:val="center"/>
          </w:tcPr>
          <w:p>
            <w:pPr>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03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557" w:type="pct"/>
            <w:vAlign w:val="center"/>
          </w:tcPr>
          <w:p>
            <w:pPr>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首次申报项目             </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□超五年重新审核项目     </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119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获嘉县发展和改革委员会</w:t>
            </w:r>
          </w:p>
        </w:tc>
        <w:tc>
          <w:tcPr>
            <w:tcW w:w="103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557"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19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15000</w:t>
            </w:r>
          </w:p>
        </w:tc>
        <w:tc>
          <w:tcPr>
            <w:tcW w:w="1039"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557"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19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1.5</w:t>
            </w:r>
          </w:p>
        </w:tc>
        <w:tc>
          <w:tcPr>
            <w:tcW w:w="1039"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557"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0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198" w:type="pct"/>
            <w:vAlign w:val="center"/>
          </w:tcPr>
          <w:p>
            <w:pPr>
              <w:adjustRightInd w:val="0"/>
              <w:snapToGrid w:val="0"/>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039"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1557"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18333.33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0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专项评价设计情况</w:t>
            </w:r>
          </w:p>
        </w:tc>
        <w:tc>
          <w:tcPr>
            <w:tcW w:w="3794" w:type="pct"/>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06" w:type="pct"/>
            <w:vAlign w:val="center"/>
          </w:tcPr>
          <w:p>
            <w:pPr>
              <w:autoSpaceDE w:val="0"/>
              <w:autoSpaceDN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规划情况</w:t>
            </w:r>
          </w:p>
        </w:tc>
        <w:tc>
          <w:tcPr>
            <w:tcW w:w="3794" w:type="pct"/>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20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3794" w:type="pct"/>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0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w:t>
            </w:r>
          </w:p>
          <w:p>
            <w:pPr>
              <w:adjustRightInd w:val="0"/>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影响评价符合性分析</w:t>
            </w:r>
          </w:p>
        </w:tc>
        <w:tc>
          <w:tcPr>
            <w:tcW w:w="3794" w:type="pct"/>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bl>
    <w:p>
      <w:pPr>
        <w:autoSpaceDE w:val="0"/>
        <w:autoSpaceDN w:val="0"/>
        <w:adjustRightInd w:val="0"/>
        <w:snapToGrid w:val="0"/>
        <w:ind w:firstLine="480"/>
        <w:rPr>
          <w:color w:val="000000" w:themeColor="text1"/>
          <w:kern w:val="0"/>
          <w:sz w:val="24"/>
          <w14:textFill>
            <w14:solidFill>
              <w14:schemeClr w14:val="tx1"/>
            </w14:solidFill>
          </w14:textFill>
        </w:rPr>
        <w:sectPr>
          <w:pgSz w:w="11906" w:h="16838"/>
          <w:pgMar w:top="1701" w:right="1531" w:bottom="1701" w:left="1531" w:header="851" w:footer="1077" w:gutter="0"/>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7" w:hRule="atLeast"/>
          <w:jc w:val="center"/>
        </w:trPr>
        <w:tc>
          <w:tcPr>
            <w:tcW w:w="534"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526" w:type="dxa"/>
          </w:tcPr>
          <w:p>
            <w:pPr>
              <w:autoSpaceDE w:val="0"/>
              <w:autoSpaceDN w:val="0"/>
              <w:adjustRightInd w:val="0"/>
              <w:snapToGrid w:val="0"/>
              <w:spacing w:line="520" w:lineRule="exact"/>
              <w:ind w:firstLine="422"/>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1、与《产业结构调整指导目录（2019年本）》的相符性分析</w:t>
            </w:r>
          </w:p>
          <w:p>
            <w:pPr>
              <w:autoSpaceDE w:val="0"/>
              <w:autoSpaceDN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查阅《产业结构调整指导目录（2019年本）》，本项目不属于《产业结构调整指导目录（2019年本）》规定的限制类、淘汰类以及鼓励类，属允许类项目，符合国家相关产业政策。项目已取得备案证明（见附件），项目代码为：。</w:t>
            </w:r>
          </w:p>
          <w:p>
            <w:pPr>
              <w:autoSpaceDE w:val="0"/>
              <w:autoSpaceDN w:val="0"/>
              <w:spacing w:line="520" w:lineRule="exact"/>
              <w:ind w:firstLine="42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color w:val="000000" w:themeColor="text1"/>
                <w:sz w:val="24"/>
                <w14:textFill>
                  <w14:solidFill>
                    <w14:schemeClr w14:val="tx1"/>
                  </w14:solidFill>
                </w14:textFill>
              </w:rPr>
              <w:t>、</w:t>
            </w:r>
            <w:r>
              <w:rPr>
                <w:b/>
                <w:bCs/>
                <w:color w:val="000000" w:themeColor="text1"/>
                <w:sz w:val="24"/>
                <w14:textFill>
                  <w14:solidFill>
                    <w14:schemeClr w14:val="tx1"/>
                  </w14:solidFill>
                </w14:textFill>
              </w:rPr>
              <w:t>项目与发改委备案相符性分析一览表</w:t>
            </w:r>
          </w:p>
          <w:p>
            <w:pPr>
              <w:pStyle w:val="71"/>
              <w:autoSpaceDE w:val="0"/>
              <w:autoSpaceDN w:val="0"/>
              <w:adjustRightInd w:val="0"/>
              <w:snapToGrid w:val="0"/>
              <w:ind w:left="420" w:firstLine="0" w:firstLineChars="0"/>
              <w:jc w:val="center"/>
              <w:rPr>
                <w:b/>
                <w:snapToGrid w:val="0"/>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表1   </w:t>
            </w:r>
            <w:r>
              <w:rPr>
                <w:b/>
                <w:snapToGrid w:val="0"/>
                <w:color w:val="000000" w:themeColor="text1"/>
                <w:szCs w:val="21"/>
                <w14:textFill>
                  <w14:solidFill>
                    <w14:schemeClr w14:val="tx1"/>
                  </w14:solidFill>
                </w14:textFill>
              </w:rPr>
              <w:t>项目与发改委备案相符性分析一览表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3125"/>
              <w:gridCol w:w="3208"/>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类别</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备案证明情况</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本项目情况</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建设单位</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河南省大公实业发展有限公司</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河南省大公实业发展有限公司</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建设地点</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新乡市获嘉县太山镇罗旗营村西南角</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新乡市获嘉县太山镇罗旗营村西南角</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投资</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15000万元</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15000万元</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建设性质</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新建</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新建</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项目名称</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年产16万立方米装配式预制构件、年产20万吨连续式泡沫沥青厂拌新型材料项目</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年产16万立方米装配式预制构件、年产20万吨连续式泡沫沥青厂拌新型材料项目</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建设内容</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本项目占地26000平方米，总建筑面积20000平方米，新建标准化厂房三栋12米高、面积14000平方米，仓库3000平方米，综合办公楼及宿舍楼3000平方米。建设年产16万立方米装配式预制构件、年产20万吨连续式泡沫沥青厂拌新型材料生产线。装配式预制构件：空心板、箱梁、盖板、小型市政预制件等。</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本项目占地18333.33平方米，总建筑面积16910平方米，新建标准化厂房四座12米高、面积16910平方米，仓库6750平方米。建设年产16万立方米装配式预制构件、年产20万吨连续式泡沫沥青厂拌新型材料生产线。装配式预制构件：空心板、箱梁、盖板、小型市政预制件等。</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项目占地改为18333.33平方米，总建筑面积改为16910m</w:t>
                  </w:r>
                  <w:r>
                    <w:rPr>
                      <w:bCs/>
                      <w:snapToGrid w:val="0"/>
                      <w:color w:val="000000" w:themeColor="text1"/>
                      <w:szCs w:val="21"/>
                      <w:vertAlign w:val="superscript"/>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生产工艺</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装配式预制构件：原材料购进（砂石或再生、水泥、钢材）-混凝土搅拌-模具制作-钢材切割、折弯、焊接-安装模具-混凝土浇注-振动-成型-蒸压养护-自动切割-成品；2、泡沫沥青新型材料：原材料（石子、石屑）-冷拌合-沥青发泡-分级喷洒-搅拌-冷拌合-成品。</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装配式预制构件：原材料购进（砂石、水泥、钢材）-混凝土搅拌-模具制作-钢材切割、折弯、焊接-安装模具-混凝土浇注-振动-成型-蒸压养护-自动切割-成品；2、泡沫沥青新型材料：原材料（水泥、泡沫沥青、再生混合料）-分级喷洒-搅拌（冷拌合）成品。</w:t>
                  </w:r>
                </w:p>
              </w:tc>
              <w:tc>
                <w:tcPr>
                  <w:tcW w:w="750"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2、泡沫沥青新型材料生产工艺改为外购成品泡沫沥青进行生产，不再进行沥青发泡。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5"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主要设备</w:t>
                  </w:r>
                </w:p>
              </w:tc>
              <w:tc>
                <w:tcPr>
                  <w:tcW w:w="188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装配式预制构件：门式起重机、砼拌设备、破碎筛分设备、洗料设备、钢筋焊接机器人、钢材数控加工设备、构件自动切割机、喷涂设备、模具制作设备、物料输送设备、大型蒸压釜、蒸汽发生器等。2、泡沫沥青新型材料：沥青发泡设备、喷洒设备、泡沫沥青专用搅拌设备。</w:t>
                  </w:r>
                </w:p>
              </w:tc>
              <w:tc>
                <w:tcPr>
                  <w:tcW w:w="1932" w:type="pct"/>
                  <w:shd w:val="clear" w:color="auto" w:fill="auto"/>
                  <w:vAlign w:val="center"/>
                </w:tcPr>
                <w:p>
                  <w:pPr>
                    <w:autoSpaceDE w:val="0"/>
                    <w:autoSpaceDN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1、装配式预制构件：门式起重机、砼拌设备、钢筋焊接机器人、钢材数控加工设备、构件自动切割机、模具制作设备、物料输送设备等。2、泡沫沥青新型材料：喷洒设备、泡沫沥青专用搅拌设备。</w:t>
                  </w:r>
                </w:p>
              </w:tc>
              <w:tc>
                <w:tcPr>
                  <w:tcW w:w="750" w:type="pct"/>
                  <w:shd w:val="clear" w:color="auto" w:fill="auto"/>
                  <w:vAlign w:val="center"/>
                </w:tcPr>
                <w:p>
                  <w:pPr>
                    <w:autoSpaceDE w:val="0"/>
                    <w:autoSpaceDN w:val="0"/>
                    <w:jc w:val="center"/>
                    <w:rPr>
                      <w:bCs/>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1、装配式预制构件：不再使用洗料设备、</w:t>
                  </w:r>
                  <w:r>
                    <w:rPr>
                      <w:bCs/>
                      <w:snapToGrid w:val="0"/>
                      <w:color w:val="000000" w:themeColor="text1"/>
                      <w:szCs w:val="21"/>
                      <w14:textFill>
                        <w14:solidFill>
                          <w14:schemeClr w14:val="tx1"/>
                        </w14:solidFill>
                      </w14:textFill>
                    </w:rPr>
                    <w:t>破碎筛分设备</w:t>
                  </w:r>
                  <w:r>
                    <w:rPr>
                      <w:rFonts w:hint="eastAsia"/>
                      <w:bCs/>
                      <w:snapToGrid w:val="0"/>
                      <w:color w:val="000000" w:themeColor="text1"/>
                      <w:szCs w:val="21"/>
                      <w14:textFill>
                        <w14:solidFill>
                          <w14:schemeClr w14:val="tx1"/>
                        </w14:solidFill>
                      </w14:textFill>
                    </w:rPr>
                    <w:t>；</w:t>
                  </w:r>
                  <w:r>
                    <w:rPr>
                      <w:bCs/>
                      <w:snapToGrid w:val="0"/>
                      <w:color w:val="000000" w:themeColor="text1"/>
                      <w:szCs w:val="21"/>
                      <w14:textFill>
                        <w14:solidFill>
                          <w14:schemeClr w14:val="tx1"/>
                        </w14:solidFill>
                      </w14:textFill>
                    </w:rPr>
                    <w:t>2、泡沫沥青新型材料：不再使用沥青发泡设备</w:t>
                  </w:r>
                </w:p>
              </w:tc>
            </w:tr>
          </w:tbl>
          <w:p>
            <w:pPr>
              <w:autoSpaceDE w:val="0"/>
              <w:autoSpaceDN w:val="0"/>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综上，本项目建设地点、项目投资等均与发改委备案基本一致。项目实际建设内容为将占地改为18333.33 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，总建筑面积改为16910m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p>
            <w:pPr>
              <w:autoSpaceDE w:val="0"/>
              <w:autoSpaceDN w:val="0"/>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生产装配式预制构件不再使用洗料设备、</w:t>
            </w:r>
            <w:r>
              <w:rPr>
                <w:bCs/>
                <w:snapToGrid w:val="0"/>
                <w:color w:val="000000" w:themeColor="text1"/>
                <w:sz w:val="24"/>
                <w14:textFill>
                  <w14:solidFill>
                    <w14:schemeClr w14:val="tx1"/>
                  </w14:solidFill>
                </w14:textFill>
              </w:rPr>
              <w:t>破碎筛分设备</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泡沫沥青新型材料生产工艺改为外购成品泡沫沥青进行生产，不再使用沥青发泡设备。</w:t>
            </w:r>
          </w:p>
          <w:p>
            <w:pPr>
              <w:autoSpaceDE w:val="0"/>
              <w:autoSpaceDN w:val="0"/>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经对照《河南省企业投资项目核准和备案管理办法》（豫政办〔2020〕23号），本项目变动情况不属于重大变动。</w:t>
            </w:r>
          </w:p>
          <w:p>
            <w:pPr>
              <w:autoSpaceDE w:val="0"/>
              <w:autoSpaceDN w:val="0"/>
              <w:adjustRightInd w:val="0"/>
              <w:snapToGrid w:val="0"/>
              <w:spacing w:line="520" w:lineRule="exact"/>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 xml:space="preserve">3、项目与获嘉县集中式饮用水源保护区规划相符性分析 </w:t>
            </w:r>
          </w:p>
          <w:p>
            <w:pPr>
              <w:autoSpaceDE w:val="0"/>
              <w:autoSpaceDN w:val="0"/>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现场调查，距离本项目最近的集中式饮用水源为获嘉县太山乡水厂地下水井群(共2眼井)，一级保护区范围:取水井外围50米的区域，未划定二级保护区范围。该水源地保护区外边界位于本项目东南侧2.5km处，本项目不在该保护区范围内。</w:t>
            </w:r>
          </w:p>
          <w:p>
            <w:pPr>
              <w:autoSpaceDE w:val="0"/>
              <w:autoSpaceDN w:val="0"/>
              <w:adjustRightInd w:val="0"/>
              <w:snapToGrid w:val="0"/>
              <w:spacing w:line="520" w:lineRule="exact"/>
              <w:ind w:firstLine="482" w:firstLineChars="200"/>
              <w:rPr>
                <w:b/>
                <w:bCs/>
                <w:snapToGrid w:val="0"/>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4、项目与《新乡市</w:t>
            </w:r>
            <w:r>
              <w:rPr>
                <w:b/>
                <w:bCs/>
                <w:snapToGrid w:val="0"/>
                <w:color w:val="000000" w:themeColor="text1"/>
                <w:sz w:val="24"/>
                <w14:textFill>
                  <w14:solidFill>
                    <w14:schemeClr w14:val="tx1"/>
                  </w14:solidFill>
                </w14:textFill>
              </w:rPr>
              <w:t>环境污染防治攻坚指挥部办公室关于印发新乡市2022年大气、水、土壤污染防治攻坚战及农业农村污染治理攻坚战实施方案的通知》（豫环委办[2022]60号）的相符性分析</w:t>
            </w:r>
          </w:p>
          <w:p>
            <w:pPr>
              <w:pStyle w:val="71"/>
              <w:autoSpaceDE w:val="0"/>
              <w:autoSpaceDN w:val="0"/>
              <w:adjustRightInd w:val="0"/>
              <w:snapToGrid w:val="0"/>
              <w:spacing w:before="240" w:beforeLines="100"/>
              <w:ind w:left="420" w:firstLine="0" w:firstLineChars="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表2   项目与新环攻坚办〔2022〕60号文的相符性分析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6"/>
              <w:gridCol w:w="1627"/>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pct"/>
                  <w:shd w:val="clear" w:color="auto" w:fill="auto"/>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与本项目相关条文</w:t>
                  </w:r>
                </w:p>
              </w:tc>
              <w:tc>
                <w:tcPr>
                  <w:tcW w:w="980" w:type="pct"/>
                  <w:shd w:val="clear" w:color="auto" w:fill="auto"/>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本项目情况</w:t>
                  </w:r>
                </w:p>
              </w:tc>
              <w:tc>
                <w:tcPr>
                  <w:tcW w:w="685" w:type="pct"/>
                  <w:shd w:val="clear" w:color="auto" w:fill="auto"/>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pct"/>
                  <w:shd w:val="clear" w:color="auto" w:fill="auto"/>
                </w:tcPr>
                <w:p>
                  <w:pPr>
                    <w:pStyle w:val="14"/>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严格项目准入，推进绿色低碳产业发展。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A 级绩效水平，改建项目达到B 级以上绩效水平。</w:t>
                  </w:r>
                </w:p>
              </w:tc>
              <w:tc>
                <w:tcPr>
                  <w:tcW w:w="980" w:type="pct"/>
                  <w:shd w:val="clear" w:color="auto" w:fill="auto"/>
                  <w:vAlign w:val="center"/>
                </w:tcPr>
                <w:p>
                  <w:pPr>
                    <w:pStyle w:val="14"/>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本项目不属于禁止新增企业，本项目不属于钢铁、水泥、电解铝、玻璃等行业，</w:t>
                  </w:r>
                  <w:r>
                    <w:rPr>
                      <w:rFonts w:hint="eastAsia" w:ascii="Times New Roman" w:hAnsi="Times New Roman"/>
                      <w:snapToGrid w:val="0"/>
                      <w:color w:val="000000" w:themeColor="text1"/>
                      <w:sz w:val="21"/>
                      <w:szCs w:val="21"/>
                      <w14:textFill>
                        <w14:solidFill>
                          <w14:schemeClr w14:val="tx1"/>
                        </w14:solidFill>
                      </w14:textFill>
                    </w:rPr>
                    <w:t>项目建成后能够满足独立粉磨站、矿渣粉、水泥制品绩效引领性要求</w:t>
                  </w:r>
                </w:p>
              </w:tc>
              <w:tc>
                <w:tcPr>
                  <w:tcW w:w="685" w:type="pct"/>
                  <w:shd w:val="clear" w:color="auto" w:fill="auto"/>
                  <w:vAlign w:val="center"/>
                </w:tcPr>
                <w:p>
                  <w:pPr>
                    <w:pStyle w:val="14"/>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pct"/>
                  <w:shd w:val="clear" w:color="auto" w:fill="auto"/>
                </w:tcPr>
                <w:p>
                  <w:pPr>
                    <w:pStyle w:val="14"/>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14.提升扬尘污染防治水平。实施扬尘治理智慧化提升工程，持续推进扬尘治理监控平台建设，加强国、省道道路扬尘监控能力建设，逐步纳入省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持续做好城市公共道路清扫保洁，加大道路清扫专业机械的配备和使用，有效提升国省道、县乡道路、城乡结合部和背街小巷等各类道路清扫保洁效果，对城市公共区域、长期未开发建设裸地，以及废旧厂区、物流园、大型停车场等进行排查建档，并采取防尘措施。严格实施城区道路“以克论净”考核，制定扬尘专项考核办法，市区采取机械化清扫保洁的主次干道路面积尘不得超过10g/m</w:t>
                  </w:r>
                  <w:r>
                    <w:rPr>
                      <w:rFonts w:ascii="Times New Roman" w:hAnsi="Times New Roman"/>
                      <w:snapToGrid w:val="0"/>
                      <w:color w:val="000000" w:themeColor="text1"/>
                      <w:sz w:val="21"/>
                      <w:szCs w:val="21"/>
                      <w:vertAlign w:val="superscript"/>
                      <w14:textFill>
                        <w14:solidFill>
                          <w14:schemeClr w14:val="tx1"/>
                        </w14:solidFill>
                      </w14:textFill>
                    </w:rPr>
                    <w:t>2</w:t>
                  </w:r>
                  <w:r>
                    <w:rPr>
                      <w:rFonts w:ascii="Times New Roman" w:hAnsi="Times New Roman"/>
                      <w:snapToGrid w:val="0"/>
                      <w:color w:val="000000" w:themeColor="text1"/>
                      <w:sz w:val="21"/>
                      <w:szCs w:val="21"/>
                      <w14:textFill>
                        <w14:solidFill>
                          <w14:schemeClr w14:val="tx1"/>
                        </w14:solidFill>
                      </w14:textFill>
                    </w:rPr>
                    <w:t>，逐步加大城乡接合部、背街小巷清扫保洁力度。大型煤炭、矿石等物料堆场全面完成抑尘设施建设和物料输送系统封闭改造。加强餐饮油烟污染治理，强化日常监督管理，规范治理设施运行管理，现场监管月抽查率不低于20%。</w:t>
                  </w:r>
                </w:p>
              </w:tc>
              <w:tc>
                <w:tcPr>
                  <w:tcW w:w="980" w:type="pct"/>
                  <w:shd w:val="clear" w:color="auto" w:fill="auto"/>
                  <w:vAlign w:val="center"/>
                </w:tcPr>
                <w:p>
                  <w:pPr>
                    <w:pStyle w:val="14"/>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项目施工过程中能够做到“三员”管理、“两个禁止”等扬尘治理制度</w:t>
                  </w:r>
                </w:p>
              </w:tc>
              <w:tc>
                <w:tcPr>
                  <w:tcW w:w="685"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pct"/>
                  <w:shd w:val="clear" w:color="auto" w:fill="auto"/>
                </w:tcPr>
                <w:p>
                  <w:pPr>
                    <w:pStyle w:val="14"/>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14.调整优化产业结构。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980" w:type="pct"/>
                  <w:shd w:val="clear" w:color="auto" w:fill="auto"/>
                  <w:vAlign w:val="center"/>
                </w:tcPr>
                <w:p>
                  <w:pPr>
                    <w:pStyle w:val="14"/>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本项目不属于化工、电镀、皮革、造纸、印染、农副食品加工等行业项目，项目选址位于海河流域，且项目不属于“两高一资”项目。</w:t>
                  </w:r>
                </w:p>
              </w:tc>
              <w:tc>
                <w:tcPr>
                  <w:tcW w:w="685"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pct"/>
                  <w:shd w:val="clear" w:color="auto" w:fill="auto"/>
                </w:tcPr>
                <w:p>
                  <w:pPr>
                    <w:pStyle w:val="14"/>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8.严格固体废物环境管理。全面提升危险废物环境监管、利用处置和环境风险防范“三个能力”，推进医疗废物和危险废物集中处置项目建设，开展铅酸蓄电池收集试点工作。动态更新危险废物“四个清单”，有序推进固废信息化建设。</w:t>
                  </w:r>
                </w:p>
              </w:tc>
              <w:tc>
                <w:tcPr>
                  <w:tcW w:w="980" w:type="pct"/>
                  <w:shd w:val="clear" w:color="auto" w:fill="auto"/>
                  <w:vAlign w:val="center"/>
                </w:tcPr>
                <w:p>
                  <w:pPr>
                    <w:pStyle w:val="14"/>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 xml:space="preserve">本项目一般固废经一般固废暂存间暂存后定期外售。 </w:t>
                  </w:r>
                </w:p>
              </w:tc>
              <w:tc>
                <w:tcPr>
                  <w:tcW w:w="685"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符合要求</w:t>
                  </w:r>
                </w:p>
              </w:tc>
            </w:tr>
          </w:tbl>
          <w:p>
            <w:pPr>
              <w:widowControl w:val="0"/>
              <w:autoSpaceDE w:val="0"/>
              <w:autoSpaceDN w:val="0"/>
              <w:adjustRightInd w:val="0"/>
              <w:snapToGrid w:val="0"/>
              <w:spacing w:line="520" w:lineRule="exact"/>
              <w:ind w:firstLine="482" w:firstLineChars="200"/>
              <w:rPr>
                <w:b/>
                <w:color w:val="000000" w:themeColor="text1"/>
                <w:kern w:val="0"/>
                <w:sz w:val="24"/>
                <w14:textFill>
                  <w14:solidFill>
                    <w14:schemeClr w14:val="tx1"/>
                  </w14:solidFill>
                </w14:textFill>
              </w:rPr>
            </w:pPr>
          </w:p>
          <w:p>
            <w:pPr>
              <w:widowControl w:val="0"/>
              <w:autoSpaceDE w:val="0"/>
              <w:autoSpaceDN w:val="0"/>
              <w:adjustRightInd w:val="0"/>
              <w:snapToGrid w:val="0"/>
              <w:spacing w:line="520" w:lineRule="exact"/>
              <w:ind w:firstLine="482" w:firstLineChars="200"/>
              <w:rPr>
                <w:b/>
                <w:color w:val="000000" w:themeColor="text1"/>
                <w:kern w:val="0"/>
                <w:sz w:val="24"/>
                <w14:textFill>
                  <w14:solidFill>
                    <w14:schemeClr w14:val="tx1"/>
                  </w14:solidFill>
                </w14:textFill>
              </w:rPr>
            </w:pPr>
          </w:p>
          <w:p>
            <w:pPr>
              <w:widowControl w:val="0"/>
              <w:autoSpaceDE w:val="0"/>
              <w:autoSpaceDN w:val="0"/>
              <w:adjustRightInd w:val="0"/>
              <w:snapToGrid w:val="0"/>
              <w:spacing w:line="520" w:lineRule="exact"/>
              <w:ind w:firstLine="482" w:firstLineChars="200"/>
              <w:rPr>
                <w:b/>
                <w:color w:val="000000" w:themeColor="text1"/>
                <w:kern w:val="0"/>
                <w:sz w:val="24"/>
                <w14:textFill>
                  <w14:solidFill>
                    <w14:schemeClr w14:val="tx1"/>
                  </w14:solidFill>
                </w14:textFill>
              </w:rPr>
            </w:pPr>
          </w:p>
          <w:p>
            <w:pPr>
              <w:widowControl w:val="0"/>
              <w:autoSpaceDE w:val="0"/>
              <w:autoSpaceDN w:val="0"/>
              <w:adjustRightInd w:val="0"/>
              <w:snapToGrid w:val="0"/>
              <w:spacing w:line="520" w:lineRule="exact"/>
              <w:ind w:firstLine="482" w:firstLineChars="200"/>
              <w:rPr>
                <w:b/>
                <w:color w:val="000000" w:themeColor="text1"/>
                <w:kern w:val="0"/>
                <w:sz w:val="24"/>
                <w14:textFill>
                  <w14:solidFill>
                    <w14:schemeClr w14:val="tx1"/>
                  </w14:solidFill>
                </w14:textFill>
              </w:rPr>
            </w:pPr>
          </w:p>
          <w:p>
            <w:pPr>
              <w:autoSpaceDE w:val="0"/>
              <w:autoSpaceDN w:val="0"/>
              <w:adjustRightInd w:val="0"/>
              <w:snapToGrid w:val="0"/>
              <w:spacing w:line="520" w:lineRule="exact"/>
              <w:ind w:firstLine="482" w:firstLineChars="200"/>
              <w:rPr>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5、项目与《河南省重污染天气重点行业应急减排措施制定技术指南》的相符性分析</w:t>
            </w:r>
          </w:p>
          <w:p>
            <w:pPr>
              <w:autoSpaceDE w:val="0"/>
              <w:autoSpaceDN w:val="0"/>
              <w:adjustRightInd w:val="0"/>
              <w:snapToGrid w:val="0"/>
              <w:spacing w:line="52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w:t>
            </w:r>
            <w:r>
              <w:rPr>
                <w:color w:val="000000" w:themeColor="text1"/>
                <w:kern w:val="0"/>
                <w:sz w:val="24"/>
                <w14:textFill>
                  <w14:solidFill>
                    <w14:schemeClr w14:val="tx1"/>
                  </w14:solidFill>
                </w14:textFill>
              </w:rPr>
              <w:t>《关于印发&lt;重污染天气重点行业应急减排措施制定技术指南（2020年修订版）&gt;的函》（环办大气函〔2020〕340号）相关文件及河南省要求，</w:t>
            </w:r>
            <w:r>
              <w:rPr>
                <w:rFonts w:hint="eastAsia"/>
                <w:color w:val="000000" w:themeColor="text1"/>
                <w:kern w:val="0"/>
                <w:sz w:val="24"/>
                <w14:textFill>
                  <w14:solidFill>
                    <w14:schemeClr w14:val="tx1"/>
                  </w14:solidFill>
                </w14:textFill>
              </w:rPr>
              <w:t>本项目冷拌沥青不涉及沥青烟及</w:t>
            </w:r>
            <w:r>
              <w:rPr>
                <w:color w:val="000000" w:themeColor="text1"/>
                <w:kern w:val="0"/>
                <w:sz w:val="24"/>
                <w14:textFill>
                  <w14:solidFill>
                    <w14:schemeClr w14:val="tx1"/>
                  </w14:solidFill>
                </w14:textFill>
              </w:rPr>
              <w:t>VOCs</w:t>
            </w:r>
            <w:r>
              <w:rPr>
                <w:rFonts w:hint="eastAsia"/>
                <w:color w:val="000000" w:themeColor="text1"/>
                <w:kern w:val="0"/>
                <w:sz w:val="24"/>
                <w14:textFill>
                  <w14:solidFill>
                    <w14:schemeClr w14:val="tx1"/>
                  </w14:solidFill>
                </w14:textFill>
              </w:rPr>
              <w:t>的产生，属于水泥制品行业，</w:t>
            </w:r>
            <w:r>
              <w:rPr>
                <w:color w:val="000000" w:themeColor="text1"/>
                <w:kern w:val="0"/>
                <w:sz w:val="24"/>
                <w14:textFill>
                  <w14:solidFill>
                    <w14:schemeClr w14:val="tx1"/>
                  </w14:solidFill>
                </w14:textFill>
              </w:rPr>
              <w:t>确定了水泥制品绩效引领性指标，项目与绩效引领性指标要求相符性如下表所示。</w:t>
            </w:r>
          </w:p>
          <w:p>
            <w:pPr>
              <w:widowControl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 项目与</w:t>
            </w:r>
            <w:r>
              <w:rPr>
                <w:rFonts w:hint="eastAsia"/>
                <w:b/>
                <w:color w:val="000000" w:themeColor="text1"/>
                <w:szCs w:val="21"/>
                <w14:textFill>
                  <w14:solidFill>
                    <w14:schemeClr w14:val="tx1"/>
                  </w14:solidFill>
                </w14:textFill>
              </w:rPr>
              <w:t>独立粉磨站、矿渣粉、水泥制品绩效引领性指标的相符性分析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969"/>
              <w:gridCol w:w="2551"/>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引领性指标</w:t>
                  </w:r>
                </w:p>
              </w:tc>
              <w:tc>
                <w:tcPr>
                  <w:tcW w:w="3969"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水泥制品要求</w:t>
                  </w:r>
                </w:p>
              </w:tc>
              <w:tc>
                <w:tcPr>
                  <w:tcW w:w="2551"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能源类型</w:t>
                  </w:r>
                </w:p>
              </w:tc>
              <w:tc>
                <w:tcPr>
                  <w:tcW w:w="3969"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电、外购蒸汽、天然气（采用低氮燃烧）</w:t>
                  </w:r>
                </w:p>
              </w:tc>
              <w:tc>
                <w:tcPr>
                  <w:tcW w:w="2551"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项目涉及用电；项目使用的蒸汽为蒸压釜产生，不涉及外购蒸汽；本项目天然气（采用低氮燃烧）的使用</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排放限值</w:t>
                  </w:r>
                </w:p>
              </w:tc>
              <w:tc>
                <w:tcPr>
                  <w:tcW w:w="3969" w:type="dxa"/>
                  <w:shd w:val="clear" w:color="auto" w:fill="auto"/>
                  <w:vAlign w:val="center"/>
                </w:tcPr>
                <w:p>
                  <w:pPr>
                    <w:jc w:val="both"/>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天然气锅炉基准氧含量3.5%，PM、NOx 排放浓度不高于 10、50 mg/m </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；热风炉基准氧含量8%，PM、NOx 排放浓度不高于 10、100mg/m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2551" w:type="dxa"/>
                  <w:shd w:val="clear" w:color="auto" w:fill="auto"/>
                  <w:vAlign w:val="center"/>
                </w:tcPr>
                <w:p>
                  <w:pPr>
                    <w:jc w:val="both"/>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天然气锅炉基准氧含量3.5%，PM、NOx 排放浓度不高于 10、50 mg/m </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；颗粒物排放浓度不超过10mg/m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，不涉及热风炉的使用。</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无组织排放</w:t>
                  </w:r>
                </w:p>
              </w:tc>
              <w:tc>
                <w:tcPr>
                  <w:tcW w:w="3969" w:type="dxa"/>
                  <w:shd w:val="clear" w:color="auto" w:fill="auto"/>
                  <w:vAlign w:val="center"/>
                </w:tcPr>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1、粉状物料全部密闭储存；2、物料采用封闭式皮带、斗提、斜槽运输，各物料破碎、转载、下料口设置集尘罩并配备袋式除尘器，库顶等泄压口配备袋式除尘器；</w:t>
                  </w:r>
                </w:p>
                <w:p>
                  <w:pPr>
                    <w:jc w:val="both"/>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3、料棚配备喷雾抑尘设施或物料全部密闭储存，出入口配备自动门，水泥包装车间全封闭，袋装水泥装车点位采用集中通风除尘系统，水泥散装采用密闭罐车，并配备带抽风口的散装卸料器。</w:t>
                  </w:r>
                </w:p>
              </w:tc>
              <w:tc>
                <w:tcPr>
                  <w:tcW w:w="2551"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水泥、石子、机制砂、混凝土等物料</w:t>
                  </w:r>
                  <w:r>
                    <w:rPr>
                      <w:bCs/>
                      <w:color w:val="000000" w:themeColor="text1"/>
                      <w:szCs w:val="21"/>
                      <w14:textFill>
                        <w14:solidFill>
                          <w14:schemeClr w14:val="tx1"/>
                        </w14:solidFill>
                      </w14:textFill>
                    </w:rPr>
                    <w:t>采用料仓、料库进行</w:t>
                  </w:r>
                  <w:r>
                    <w:rPr>
                      <w:rFonts w:hint="eastAsia"/>
                      <w:bCs/>
                      <w:color w:val="000000" w:themeColor="text1"/>
                      <w:szCs w:val="21"/>
                      <w14:textFill>
                        <w14:solidFill>
                          <w14:schemeClr w14:val="tx1"/>
                        </w14:solidFill>
                      </w14:textFill>
                    </w:rPr>
                    <w:t>密闭</w:t>
                  </w:r>
                  <w:r>
                    <w:rPr>
                      <w:bCs/>
                      <w:color w:val="000000" w:themeColor="text1"/>
                      <w:szCs w:val="21"/>
                      <w14:textFill>
                        <w14:solidFill>
                          <w14:schemeClr w14:val="tx1"/>
                        </w14:solidFill>
                      </w14:textFill>
                    </w:rPr>
                    <w:t xml:space="preserve">储存； 2. </w:t>
                  </w:r>
                  <w:r>
                    <w:rPr>
                      <w:rFonts w:hint="eastAsia"/>
                      <w:bCs/>
                      <w:color w:val="000000" w:themeColor="text1"/>
                      <w:szCs w:val="21"/>
                      <w14:textFill>
                        <w14:solidFill>
                          <w14:schemeClr w14:val="tx1"/>
                        </w14:solidFill>
                      </w14:textFill>
                    </w:rPr>
                    <w:t>输送皮带输送环节全部封闭，设置有集尘罩，配置覆膜袋式除尘器</w:t>
                  </w:r>
                  <w:r>
                    <w:rPr>
                      <w:bCs/>
                      <w:color w:val="000000" w:themeColor="text1"/>
                      <w:szCs w:val="21"/>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bCs/>
                      <w:color w:val="000000" w:themeColor="text1"/>
                      <w:szCs w:val="21"/>
                      <w14:textFill>
                        <w14:solidFill>
                          <w14:schemeClr w14:val="tx1"/>
                        </w14:solidFill>
                      </w14:textFill>
                    </w:rPr>
                    <w:t>料棚配备雾化喷淋，安装自动门；本项目不涉及水泥生产及包装。</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监测监控水平</w:t>
                  </w:r>
                </w:p>
              </w:tc>
              <w:tc>
                <w:tcPr>
                  <w:tcW w:w="3969"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重点排污企业水泥磨和独立烘干系统安装CEMS，CEMS监控数据保存一年以上。料场出入口等易产尘点，安装高清视频监控设施，视频监控数据保存三个月以上。</w:t>
                  </w:r>
                </w:p>
              </w:tc>
              <w:tc>
                <w:tcPr>
                  <w:tcW w:w="2551"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项目不属于重点排污单位，料场进出口等产尘点均安装有高清视频监控设施，同时按照环保要求保留监控数据</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环境管理水平</w:t>
                  </w:r>
                </w:p>
              </w:tc>
              <w:tc>
                <w:tcPr>
                  <w:tcW w:w="3969" w:type="dxa"/>
                  <w:shd w:val="clear" w:color="auto" w:fill="auto"/>
                  <w:vAlign w:val="center"/>
                </w:tcPr>
                <w:p>
                  <w:pPr>
                    <w:pStyle w:val="3"/>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环保档案齐全：1、环评批复文件；2、排污许可证及季度、年度执行报告；3、竣工验收文件；4、一年内废气检测报告。</w:t>
                  </w:r>
                </w:p>
                <w:p>
                  <w:pPr>
                    <w:pStyle w:val="3"/>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台账记录：1、完整生产管理台账（包括生产设备运行台账，原辅材料、燃料使用量、产品产量等）；2、运输管理电子台账（包括车辆出入厂记录、车牌号、VIN号、发动机编号和排放标准等）；3、设备维护记录；4、废气治理设备清单（包括主要污染治理设备、设计说明书、运维记录、CEMS数据等）；5、耗材清单（除尘器滤料更换记录等）。</w:t>
                  </w:r>
                </w:p>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管理制度健全：1、有专兼职环保人员；2、废气治理设施运行管理规程。</w:t>
                  </w:r>
                </w:p>
              </w:tc>
              <w:tc>
                <w:tcPr>
                  <w:tcW w:w="2551" w:type="dxa"/>
                  <w:shd w:val="clear" w:color="auto" w:fill="auto"/>
                  <w:vAlign w:val="center"/>
                </w:tcPr>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1、项目环保档案齐全；2、建设单位运行台账已按照引领性指标要求进行记录；3、设有环保专员、领导小组，有环保治污设施收尘设备运行管理规定。</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c>
                <w:tcPr>
                  <w:tcW w:w="3969" w:type="dxa"/>
                  <w:shd w:val="clear" w:color="auto" w:fill="auto"/>
                  <w:vAlign w:val="center"/>
                </w:tcPr>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1、物料（除水泥罐式货车外）公路运输全部使用达到国五及以上排放标准重型载货车辆（含燃气）或新能源车辆；2、厂内运输车辆全部达到国五及以上排放标准（含燃气）或使用新能源车辆；3、厂内非道路移动机械全部达到国三及以上排放标准或使用新能源机械。</w:t>
                  </w:r>
                </w:p>
              </w:tc>
              <w:tc>
                <w:tcPr>
                  <w:tcW w:w="2551" w:type="dxa"/>
                  <w:shd w:val="clear" w:color="auto" w:fill="auto"/>
                  <w:vAlign w:val="center"/>
                </w:tcPr>
                <w:p>
                  <w:pPr>
                    <w:pStyle w:val="3"/>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1.外来运输车辆全部为国五及以上排放。</w:t>
                  </w:r>
                </w:p>
                <w:p>
                  <w:pPr>
                    <w:pStyle w:val="3"/>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2.企业无自有车辆，厂内也没有运输车辆。</w:t>
                  </w:r>
                </w:p>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3.非道路移动机械全为国三排放。</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shd w:val="clear" w:color="auto" w:fill="auto"/>
                  <w:vAlign w:val="center"/>
                </w:tcPr>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运输监管</w:t>
                  </w:r>
                </w:p>
              </w:tc>
              <w:tc>
                <w:tcPr>
                  <w:tcW w:w="3969" w:type="dxa"/>
                  <w:shd w:val="clear" w:color="auto" w:fill="auto"/>
                  <w:vAlign w:val="center"/>
                </w:tcPr>
                <w:p>
                  <w:pPr>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配备门禁和视频监控系统，监控运输车辆进出厂区情况，记录运输车辆电子台账；视频监控、台账数据保存三个月以上。</w:t>
                  </w:r>
                </w:p>
              </w:tc>
              <w:tc>
                <w:tcPr>
                  <w:tcW w:w="2551" w:type="dxa"/>
                  <w:shd w:val="clear" w:color="auto" w:fill="auto"/>
                  <w:vAlign w:val="center"/>
                </w:tcPr>
                <w:p>
                  <w:pPr>
                    <w:jc w:val="both"/>
                    <w:rPr>
                      <w:bCs/>
                      <w:color w:val="000000" w:themeColor="text1"/>
                      <w:szCs w:val="21"/>
                      <w14:textFill>
                        <w14:solidFill>
                          <w14:schemeClr w14:val="tx1"/>
                        </w14:solidFill>
                      </w14:textFill>
                    </w:rPr>
                  </w:pPr>
                  <w:r>
                    <w:rPr>
                      <w:color w:val="000000" w:themeColor="text1"/>
                      <w:szCs w:val="21"/>
                      <w14:textFill>
                        <w14:solidFill>
                          <w14:schemeClr w14:val="tx1"/>
                        </w14:solidFill>
                      </w14:textFill>
                    </w:rPr>
                    <w:t>门禁和视频监控均安装和联网，数据保存三个月以上</w:t>
                  </w:r>
                </w:p>
              </w:tc>
              <w:tc>
                <w:tcPr>
                  <w:tcW w:w="787" w:type="dxa"/>
                  <w:shd w:val="clear" w:color="auto" w:fill="auto"/>
                  <w:vAlign w:val="center"/>
                </w:tcPr>
                <w:p>
                  <w:pPr>
                    <w:jc w:val="both"/>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符合要求</w:t>
                  </w:r>
                </w:p>
              </w:tc>
            </w:tr>
          </w:tbl>
          <w:p>
            <w:pPr>
              <w:widowControl w:val="0"/>
              <w:jc w:val="center"/>
              <w:rPr>
                <w:b/>
                <w:color w:val="000000" w:themeColor="text1"/>
                <w:szCs w:val="21"/>
                <w14:textFill>
                  <w14:solidFill>
                    <w14:schemeClr w14:val="tx1"/>
                  </w14:solidFill>
                </w14:textFill>
              </w:rPr>
            </w:pPr>
          </w:p>
          <w:p>
            <w:pPr>
              <w:autoSpaceDE w:val="0"/>
              <w:autoSpaceDN w:val="0"/>
              <w:adjustRightInd w:val="0"/>
              <w:snapToGrid w:val="0"/>
              <w:spacing w:line="520" w:lineRule="exact"/>
              <w:ind w:firstLine="482" w:firstLineChars="200"/>
              <w:rPr>
                <w:b/>
                <w:bCs/>
                <w:color w:val="000000" w:themeColor="text1"/>
                <w:kern w:val="0"/>
                <w:sz w:val="24"/>
                <w14:textFill>
                  <w14:solidFill>
                    <w14:schemeClr w14:val="tx1"/>
                  </w14:solidFill>
                </w14:textFill>
              </w:rPr>
            </w:pPr>
            <w:r>
              <w:rPr>
                <w:b/>
                <w:bCs/>
                <w:snapToGrid w:val="0"/>
                <w:color w:val="000000" w:themeColor="text1"/>
                <w:sz w:val="24"/>
                <w14:textFill>
                  <w14:solidFill>
                    <w14:schemeClr w14:val="tx1"/>
                  </w14:solidFill>
                </w14:textFill>
              </w:rPr>
              <w:t>5、</w:t>
            </w:r>
            <w:r>
              <w:rPr>
                <w:b/>
                <w:bCs/>
                <w:color w:val="000000" w:themeColor="text1"/>
                <w:kern w:val="0"/>
                <w:sz w:val="24"/>
                <w14:textFill>
                  <w14:solidFill>
                    <w14:schemeClr w14:val="tx1"/>
                  </w14:solidFill>
                </w14:textFill>
              </w:rPr>
              <w:t>项目与《新乡市管控单元生态环境准入清单》的相符性分析</w:t>
            </w:r>
          </w:p>
          <w:p>
            <w:pPr>
              <w:pStyle w:val="71"/>
              <w:autoSpaceDE w:val="0"/>
              <w:autoSpaceDN w:val="0"/>
              <w:adjustRightInd w:val="0"/>
              <w:snapToGrid w:val="0"/>
              <w:ind w:left="420"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   项目与《新乡市管控单元生态环境准入清单》的相符性分析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636"/>
              <w:gridCol w:w="570"/>
              <w:gridCol w:w="4327"/>
              <w:gridCol w:w="1509"/>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gridSpan w:val="2"/>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要求</w:t>
                  </w:r>
                </w:p>
              </w:tc>
              <w:tc>
                <w:tcPr>
                  <w:tcW w:w="4897" w:type="dxa"/>
                  <w:gridSpan w:val="2"/>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与本项目相关的具体管控要求</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本项目情况</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gridSpan w:val="2"/>
                  <w:vMerge w:val="restart"/>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新乡市生态环境总体准入要求</w:t>
                  </w: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空间布局约束</w:t>
                  </w:r>
                </w:p>
              </w:tc>
              <w:tc>
                <w:tcPr>
                  <w:tcW w:w="4327" w:type="dxa"/>
                  <w:shd w:val="clear" w:color="auto" w:fill="auto"/>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1.禁止在自然保护区内进行砍伐、放牧、狩猎、捕捞、采药、开垦、烧荒、开矿、采石、挖沙等活动；但是，法律、行政法规另有规定的除外。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2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 VOCs的项目，应从源头加强控制，使用低（无）VOCs 含量的原辅材料，配套安装高效收集、治理设施，其中新建涉 VOCs排放的工业企业要入园区，实行区域内 VOCs 排放总量倍量消减替代。禁止生产、销售不符合标准的机动车船、非道路移动机械用燃料；禁止向汽车和摩托车销售普通柴油以及其他非机动车用燃料；禁止向非道路移动机械销售渣油、重油和不符合规定的燃用油。</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3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4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1、建设区域内不涉及自然保护区；2、项目建设区域内不涉及南太行旅游度假区规划区；3、项目属于预制构件与泡沫沥青材料制造</w:t>
                  </w:r>
                  <w:r>
                    <w:rPr>
                      <w:bCs/>
                      <w:snapToGrid w:val="0"/>
                      <w:color w:val="000000" w:themeColor="text1"/>
                      <w:szCs w:val="21"/>
                      <w14:textFill>
                        <w14:solidFill>
                          <w14:schemeClr w14:val="tx1"/>
                        </w14:solidFill>
                      </w14:textFill>
                    </w:rPr>
                    <w:t>，不属于禁止新建项目</w:t>
                  </w:r>
                  <w:r>
                    <w:rPr>
                      <w:snapToGrid w:val="0"/>
                      <w:color w:val="000000" w:themeColor="text1"/>
                      <w:szCs w:val="21"/>
                      <w14:textFill>
                        <w14:solidFill>
                          <w14:schemeClr w14:val="tx1"/>
                        </w14:solidFill>
                      </w14:textFill>
                    </w:rPr>
                    <w:t>；4、项目不属于上述需进行搬迁或升级的项目，项目不属于本地过剩产能的项目。经逐条对比，项目符合新乡市生态环境准入要求空间布局约束要求。</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gridSpan w:val="2"/>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污染排放管控</w:t>
                  </w:r>
                </w:p>
              </w:tc>
              <w:tc>
                <w:tcPr>
                  <w:tcW w:w="4327" w:type="dxa"/>
                  <w:shd w:val="clear" w:color="auto" w:fill="auto"/>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1.新、改、扩建项目主要污染物排放要求满足当地总量减排要求。</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2.卫河、共产主义渠、文岩渠保持</w:t>
                  </w:r>
                  <w:r>
                    <w:rPr>
                      <w:rFonts w:hint="eastAsia" w:ascii="宋体" w:hAnsi="宋体" w:cs="宋体"/>
                      <w:snapToGrid w:val="0"/>
                      <w:color w:val="000000" w:themeColor="text1"/>
                      <w:szCs w:val="21"/>
                      <w14:textFill>
                        <w14:solidFill>
                          <w14:schemeClr w14:val="tx1"/>
                        </w14:solidFill>
                      </w14:textFill>
                    </w:rPr>
                    <w:t>Ⅴ</w:t>
                  </w:r>
                  <w:r>
                    <w:rPr>
                      <w:snapToGrid w:val="0"/>
                      <w:color w:val="000000" w:themeColor="text1"/>
                      <w:szCs w:val="21"/>
                      <w14:textFill>
                        <w14:solidFill>
                          <w14:schemeClr w14:val="tx1"/>
                        </w14:solidFill>
                      </w14:textFill>
                    </w:rPr>
                    <w:t>类指标，黄庄河、西柳青河达到</w:t>
                  </w:r>
                  <w:r>
                    <w:rPr>
                      <w:rFonts w:hint="eastAsia" w:ascii="宋体" w:hAnsi="宋体" w:cs="宋体"/>
                      <w:snapToGrid w:val="0"/>
                      <w:color w:val="000000" w:themeColor="text1"/>
                      <w:szCs w:val="21"/>
                      <w14:textFill>
                        <w14:solidFill>
                          <w14:schemeClr w14:val="tx1"/>
                        </w14:solidFill>
                      </w14:textFill>
                    </w:rPr>
                    <w:t>Ⅳ</w:t>
                  </w:r>
                  <w:r>
                    <w:rPr>
                      <w:snapToGrid w:val="0"/>
                      <w:color w:val="000000" w:themeColor="text1"/>
                      <w:szCs w:val="21"/>
                      <w14:textFill>
                        <w14:solidFill>
                          <w14:schemeClr w14:val="tx1"/>
                        </w14:solidFill>
                      </w14:textFill>
                    </w:rPr>
                    <w:t>类指标，天然渠、人民胜利渠达到</w:t>
                  </w:r>
                  <w:r>
                    <w:rPr>
                      <w:rFonts w:hint="eastAsia" w:ascii="宋体" w:hAnsi="宋体" w:cs="宋体"/>
                      <w:snapToGrid w:val="0"/>
                      <w:color w:val="000000" w:themeColor="text1"/>
                      <w:szCs w:val="21"/>
                      <w14:textFill>
                        <w14:solidFill>
                          <w14:schemeClr w14:val="tx1"/>
                        </w14:solidFill>
                      </w14:textFill>
                    </w:rPr>
                    <w:t>Ⅲ</w:t>
                  </w:r>
                  <w:r>
                    <w:rPr>
                      <w:snapToGrid w:val="0"/>
                      <w:color w:val="000000" w:themeColor="text1"/>
                      <w:szCs w:val="21"/>
                      <w14:textFill>
                        <w14:solidFill>
                          <w14:schemeClr w14:val="tx1"/>
                        </w14:solidFill>
                      </w14:textFill>
                    </w:rPr>
                    <w:t>类指标；城市集中式饮用水水源地取水水质达标率达到 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w:t>
                  </w:r>
                  <w:r>
                    <w:rPr>
                      <w:rFonts w:hint="eastAsia" w:ascii="宋体" w:hAnsi="宋体" w:cs="宋体"/>
                      <w:snapToGrid w:val="0"/>
                      <w:color w:val="000000" w:themeColor="text1"/>
                      <w:szCs w:val="21"/>
                      <w14:textFill>
                        <w14:solidFill>
                          <w14:schemeClr w14:val="tx1"/>
                        </w14:solidFill>
                      </w14:textFill>
                    </w:rPr>
                    <w:t>Ⅱ</w:t>
                  </w:r>
                  <w:r>
                    <w:rPr>
                      <w:snapToGrid w:val="0"/>
                      <w:color w:val="000000" w:themeColor="text1"/>
                      <w:szCs w:val="21"/>
                      <w14:textFill>
                        <w14:solidFill>
                          <w14:schemeClr w14:val="tx1"/>
                        </w14:solidFill>
                      </w14:textFill>
                    </w:rPr>
                    <w:t>类的水体和地表水型集中式生活饮用水水源保护区内的水体排放污水；污水排入黄河干流、黄河一级支流和涉及</w:t>
                  </w:r>
                  <w:r>
                    <w:rPr>
                      <w:rFonts w:hint="eastAsia" w:ascii="宋体" w:hAnsi="宋体" w:cs="宋体"/>
                      <w:snapToGrid w:val="0"/>
                      <w:color w:val="000000" w:themeColor="text1"/>
                      <w:szCs w:val="21"/>
                      <w14:textFill>
                        <w14:solidFill>
                          <w14:schemeClr w14:val="tx1"/>
                        </w14:solidFill>
                      </w14:textFill>
                    </w:rPr>
                    <w:t>Ⅲ</w:t>
                  </w:r>
                  <w:r>
                    <w:rPr>
                      <w:snapToGrid w:val="0"/>
                      <w:color w:val="000000" w:themeColor="text1"/>
                      <w:szCs w:val="21"/>
                      <w14:textFill>
                        <w14:solidFill>
                          <w14:schemeClr w14:val="tx1"/>
                        </w14:solidFill>
                      </w14:textFill>
                    </w:rPr>
                    <w:t>类水功能区要求的其它水体时，执行一级标准；污水排入除上述水体以外的其它河流、湖泊、水库、运河、渠道、湿地、坑塘、蓄滞洪区等地表水体时，执行二级标准。</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3.全面推进城镇（产业集聚区）污水处理厂</w:t>
                  </w:r>
                  <w:r>
                    <w:rPr>
                      <w:rFonts w:hint="eastAsia" w:ascii="宋体" w:hAnsi="宋体" w:cs="宋体"/>
                      <w:snapToGrid w:val="0"/>
                      <w:color w:val="000000" w:themeColor="text1"/>
                      <w:szCs w:val="21"/>
                      <w14:textFill>
                        <w14:solidFill>
                          <w14:schemeClr w14:val="tx1"/>
                        </w14:solidFill>
                      </w14:textFill>
                    </w:rPr>
                    <w:t>Ⅴ</w:t>
                  </w:r>
                  <w:r>
                    <w:rPr>
                      <w:snapToGrid w:val="0"/>
                      <w:color w:val="000000" w:themeColor="text1"/>
                      <w:szCs w:val="21"/>
                      <w14:textFill>
                        <w14:solidFill>
                          <w14:schemeClr w14:val="tx1"/>
                        </w14:solidFill>
                      </w14:textFill>
                    </w:rPr>
                    <w:t>类水提标改造工程建设，市、县（市、区）污水处理率、城市污泥无害化处置率达到政府目标任务。</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5.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6.新建“两高”项目应按照《关于加强重点行业建设项目区域削减措施监督管理的通知》（环办环评〔2020〕36 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1.项目污染物排放满足当地总量控制要求；2.项目生产用水循环使用；3.不涉及；4.项目不涉及；5.项目不属于水污染物排放行业重点企业；6.项目属于预制构件与泡沫沥青材料制造</w:t>
                  </w:r>
                  <w:r>
                    <w:rPr>
                      <w:bCs/>
                      <w:snapToGrid w:val="0"/>
                      <w:color w:val="000000" w:themeColor="text1"/>
                      <w:szCs w:val="21"/>
                      <w14:textFill>
                        <w14:solidFill>
                          <w14:schemeClr w14:val="tx1"/>
                        </w14:solidFill>
                      </w14:textFill>
                    </w:rPr>
                    <w:t>，不属于</w:t>
                  </w:r>
                  <w:r>
                    <w:rPr>
                      <w:snapToGrid w:val="0"/>
                      <w:color w:val="000000" w:themeColor="text1"/>
                      <w:szCs w:val="21"/>
                      <w14:textFill>
                        <w14:solidFill>
                          <w14:schemeClr w14:val="tx1"/>
                        </w14:solidFill>
                      </w14:textFill>
                    </w:rPr>
                    <w:t xml:space="preserve">“两高”项目。 </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gridSpan w:val="2"/>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环境风险管控</w:t>
                  </w:r>
                </w:p>
              </w:tc>
              <w:tc>
                <w:tcPr>
                  <w:tcW w:w="4327" w:type="dxa"/>
                  <w:shd w:val="clear" w:color="auto" w:fill="auto"/>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1、地下水漏斗区、重金属污染区、生态严重退化区等区域：探索开展耕地轮作休耕试点；实行休耕补贴，引导农民自愿将重度污染耕地退出农业生产。</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1.项目不属于地下水漏斗区、重金属污染区、生态严重退化区等区域；2.项目不在饮用水源保护区。</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gridSpan w:val="2"/>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资源开发效率要求</w:t>
                  </w:r>
                </w:p>
              </w:tc>
              <w:tc>
                <w:tcPr>
                  <w:tcW w:w="4327" w:type="dxa"/>
                  <w:shd w:val="clear" w:color="auto" w:fill="auto"/>
                </w:tcPr>
                <w:p>
                  <w:pPr>
                    <w:tabs>
                      <w:tab w:val="left" w:pos="840"/>
                    </w:tabs>
                    <w:rPr>
                      <w:color w:val="000000" w:themeColor="text1"/>
                      <w:szCs w:val="21"/>
                      <w14:textFill>
                        <w14:solidFill>
                          <w14:schemeClr w14:val="tx1"/>
                        </w14:solidFill>
                      </w14:textFill>
                    </w:rPr>
                  </w:pPr>
                  <w:r>
                    <w:rPr>
                      <w:color w:val="000000" w:themeColor="text1"/>
                      <w:szCs w:val="21"/>
                      <w14:textFill>
                        <w14:solidFill>
                          <w14:schemeClr w14:val="tx1"/>
                        </w14:solidFill>
                      </w14:textFill>
                    </w:rPr>
                    <w:t>1.“十四五”期间按照政府目标控制能耗增量指标。鼓励使用清洁燃料，重点区域建设项目原则上不新建燃煤自备锅炉。</w:t>
                  </w:r>
                </w:p>
                <w:p>
                  <w:pPr>
                    <w:tabs>
                      <w:tab w:val="left" w:pos="840"/>
                    </w:tabs>
                    <w:rPr>
                      <w:color w:val="000000" w:themeColor="text1"/>
                      <w:szCs w:val="21"/>
                      <w14:textFill>
                        <w14:solidFill>
                          <w14:schemeClr w14:val="tx1"/>
                        </w14:solidFill>
                      </w14:textFill>
                    </w:rPr>
                  </w:pPr>
                  <w:r>
                    <w:rPr>
                      <w:color w:val="000000" w:themeColor="text1"/>
                      <w:szCs w:val="21"/>
                      <w14:textFill>
                        <w14:solidFill>
                          <w14:schemeClr w14:val="tx1"/>
                        </w14:solidFill>
                      </w14:textFill>
                    </w:rPr>
                    <w:t>2.重点推进南水北调受水区地下水压采工作，加快公共供水管网建设，促进供水管网覆盖范围以外的自备井封闭工作。</w:t>
                  </w:r>
                </w:p>
                <w:p>
                  <w:pPr>
                    <w:tabs>
                      <w:tab w:val="left" w:pos="840"/>
                    </w:tabs>
                    <w:rPr>
                      <w:color w:val="000000" w:themeColor="text1"/>
                      <w:szCs w:val="21"/>
                      <w14:textFill>
                        <w14:solidFill>
                          <w14:schemeClr w14:val="tx1"/>
                        </w14:solidFill>
                      </w14:textFill>
                    </w:rPr>
                  </w:pPr>
                  <w:r>
                    <w:rPr>
                      <w:color w:val="000000" w:themeColor="text1"/>
                      <w:szCs w:val="21"/>
                      <w14:textFill>
                        <w14:solidFill>
                          <w14:schemeClr w14:val="tx1"/>
                        </w14:solidFill>
                      </w14:textFill>
                    </w:rPr>
                    <w:t>3.开展高耗水工业行业节水技术改造，大力推广工业水循环利用，推进节水型企业、节水型工业园区建设。</w:t>
                  </w:r>
                </w:p>
                <w:p>
                  <w:pPr>
                    <w:tabs>
                      <w:tab w:val="left" w:pos="840"/>
                    </w:tabs>
                    <w:rPr>
                      <w:color w:val="000000" w:themeColor="text1"/>
                      <w:szCs w:val="21"/>
                      <w14:textFill>
                        <w14:solidFill>
                          <w14:schemeClr w14:val="tx1"/>
                        </w14:solidFill>
                      </w14:textFill>
                    </w:rPr>
                  </w:pPr>
                  <w:r>
                    <w:rPr>
                      <w:color w:val="000000" w:themeColor="text1"/>
                      <w:szCs w:val="21"/>
                      <w14:textFill>
                        <w14:solidFill>
                          <w14:schemeClr w14:val="tx1"/>
                        </w14:solidFill>
                      </w14:textFill>
                    </w:rPr>
                    <w:t>4.按照合理有序使用地表水、控制使用地下水、积极利用非常规水源的要求，做好区域水资源统筹调配，逐步降低区域内的水资源开发利用强度，退减被挤占的生态用水，2030年全市浅层地下水开采控制在 57390万立方米。</w:t>
                  </w:r>
                </w:p>
                <w:p>
                  <w:pPr>
                    <w:tabs>
                      <w:tab w:val="left" w:pos="840"/>
                    </w:tabs>
                    <w:rPr>
                      <w:color w:val="000000" w:themeColor="text1"/>
                      <w:szCs w:val="21"/>
                      <w14:textFill>
                        <w14:solidFill>
                          <w14:schemeClr w14:val="tx1"/>
                        </w14:solidFill>
                      </w14:textFill>
                    </w:rPr>
                  </w:pPr>
                  <w:r>
                    <w:rPr>
                      <w:color w:val="000000" w:themeColor="text1"/>
                      <w:szCs w:val="21"/>
                      <w14:textFill>
                        <w14:solidFill>
                          <w14:schemeClr w14:val="tx1"/>
                        </w14:solidFill>
                      </w14:textFill>
                    </w:rPr>
                    <w:t>5.到 2025 年，全国地级及以上缺水城市再生水利用率达到25%以上。</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1.项目不涉及燃煤锅炉的建设；2.项目采用自备水井供水；3.项目不属于高耗水行业；4、不涉及；5、不涉及。</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restart"/>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重点管控单元2</w:t>
                  </w:r>
                </w:p>
              </w:tc>
              <w:tc>
                <w:tcPr>
                  <w:tcW w:w="636" w:type="dxa"/>
                  <w:vMerge w:val="restart"/>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获嘉县城镇重点单元（涉及太山镇）</w:t>
                  </w: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空间布局约束</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（一）获嘉县中心城区</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2、禁止新建、改建及扩建高排放、高污染项目，包括钢铁、有色、水泥、平板玻璃、建筑陶瓷等行业及其他排放重金属、持久性有机污染物的工业项目等。</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（二）照镜镇区域内新乡市楼村精细化工新材料产业园区</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1、入园项目用地必须符合园区用地规划要求，禁止在一类工业用地上建设三类工业项目。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2、禁止新建灭线磷、氧乐果、甲基异构柳磷、磷化铝、氯化苦、克百威和灭多威等高毒性农药项目。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3、严禁入驻高耗水、高耗能的项目。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4、禁止入驻会对污水处理厂造成冲击，影响污水处理厂稳定运行达标排放的项目。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5、禁止新、改、扩建“两高”项目。</w:t>
                  </w:r>
                </w:p>
              </w:tc>
              <w:tc>
                <w:tcPr>
                  <w:tcW w:w="1509" w:type="dxa"/>
                  <w:shd w:val="clear" w:color="auto" w:fill="auto"/>
                  <w:vAlign w:val="center"/>
                </w:tcPr>
                <w:p>
                  <w:pPr>
                    <w:autoSpaceDE w:val="0"/>
                    <w:autoSpaceDN w:val="0"/>
                    <w:adjustRightInd w:val="0"/>
                    <w:snapToGrid w:val="0"/>
                    <w:rPr>
                      <w:snapToGrid w:val="0"/>
                      <w:color w:val="000000" w:themeColor="text1"/>
                      <w:szCs w:val="21"/>
                      <w:highlight w:val="yellow"/>
                      <w14:textFill>
                        <w14:solidFill>
                          <w14:schemeClr w14:val="tx1"/>
                        </w14:solidFill>
                      </w14:textFill>
                    </w:rPr>
                  </w:pPr>
                  <w:r>
                    <w:rPr>
                      <w:snapToGrid w:val="0"/>
                      <w:color w:val="000000" w:themeColor="text1"/>
                      <w:szCs w:val="21"/>
                      <w14:textFill>
                        <w14:solidFill>
                          <w14:schemeClr w14:val="tx1"/>
                        </w14:solidFill>
                      </w14:textFill>
                    </w:rPr>
                    <w:t>1、项目位于</w:t>
                  </w:r>
                  <w:r>
                    <w:rPr>
                      <w:color w:val="000000" w:themeColor="text1"/>
                      <w:szCs w:val="21"/>
                      <w14:textFill>
                        <w14:solidFill>
                          <w14:schemeClr w14:val="tx1"/>
                        </w14:solidFill>
                      </w14:textFill>
                    </w:rPr>
                    <w:t>获嘉县太山镇罗旗营村西南角，</w:t>
                  </w:r>
                  <w:r>
                    <w:rPr>
                      <w:snapToGrid w:val="0"/>
                      <w:color w:val="000000" w:themeColor="text1"/>
                      <w:szCs w:val="21"/>
                      <w14:textFill>
                        <w14:solidFill>
                          <w14:schemeClr w14:val="tx1"/>
                        </w14:solidFill>
                      </w14:textFill>
                    </w:rPr>
                    <w:t>不在中心城区内；2、项目不在产业园区内。</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污染物排放管控</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1、禁止含重金属废水进入城市生活污水处理厂。</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2、二氧化硫、氮氧化物、颗粒物、VOCs全面执行大气污染物特别排放限值。</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3、园区污水处理厂逐步实施技改，出水执行《地表水环境质量标准》（GB3838-2002）</w:t>
                  </w:r>
                  <w:r>
                    <w:rPr>
                      <w:rFonts w:hint="eastAsia" w:ascii="宋体" w:hAnsi="宋体" w:cs="宋体"/>
                      <w:snapToGrid w:val="0"/>
                      <w:color w:val="000000" w:themeColor="text1"/>
                      <w:szCs w:val="21"/>
                      <w14:textFill>
                        <w14:solidFill>
                          <w14:schemeClr w14:val="tx1"/>
                        </w14:solidFill>
                      </w14:textFill>
                    </w:rPr>
                    <w:t>Ⅴ</w:t>
                  </w:r>
                  <w:r>
                    <w:rPr>
                      <w:snapToGrid w:val="0"/>
                      <w:color w:val="000000" w:themeColor="text1"/>
                      <w:szCs w:val="21"/>
                      <w14:textFill>
                        <w14:solidFill>
                          <w14:schemeClr w14:val="tx1"/>
                        </w14:solidFill>
                      </w14:textFill>
                    </w:rPr>
                    <w:t>类标准要求；涉及《污水综合排放标准》（GB8978-1996）中第一类重金属污染排放的项目，废水实现零排放。</w:t>
                  </w:r>
                </w:p>
              </w:tc>
              <w:tc>
                <w:tcPr>
                  <w:tcW w:w="1509" w:type="dxa"/>
                  <w:shd w:val="clear" w:color="auto" w:fill="auto"/>
                  <w:vAlign w:val="center"/>
                </w:tcPr>
                <w:p>
                  <w:pPr>
                    <w:autoSpaceDE w:val="0"/>
                    <w:autoSpaceDN w:val="0"/>
                    <w:adjustRightInd w:val="0"/>
                    <w:snapToGrid w:val="0"/>
                    <w:jc w:val="center"/>
                    <w:rPr>
                      <w:snapToGrid w:val="0"/>
                      <w:color w:val="000000" w:themeColor="text1"/>
                      <w:szCs w:val="21"/>
                      <w:highlight w:val="yellow"/>
                      <w14:textFill>
                        <w14:solidFill>
                          <w14:schemeClr w14:val="tx1"/>
                        </w14:solidFill>
                      </w14:textFill>
                    </w:rPr>
                  </w:pPr>
                  <w:r>
                    <w:rPr>
                      <w:snapToGrid w:val="0"/>
                      <w:color w:val="000000" w:themeColor="text1"/>
                      <w:szCs w:val="21"/>
                      <w14:textFill>
                        <w14:solidFill>
                          <w14:schemeClr w14:val="tx1"/>
                        </w14:solidFill>
                      </w14:textFill>
                    </w:rPr>
                    <w:t>1、本项目不涉及含重金属废水的产生；2、颗粒物执行大气污染物特别排放限值；3、本项目不在产业园区内。</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环境风险防控</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1、禁止新建大气环境防护距离内涉及居住区或未搬迁村庄等环境敏感点的项目。</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2、企业环境风险防范措施未严格按照环境影响评价文件要求落实的，停产整改；</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涉及危险化学品、危险废物及可能发生突发环境事件的污染物排放企业，应按照突发环境事件应急预案备案管理办法的要求，制定完善的环境应急预案，并报生态环境管理部门备案管理。未落实有关要求的，应停产整改。</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4、建立应急救援指挥中心，完善风险联动应急网络及三级防控体系，推动建设环境应急预案数据库。</w:t>
                  </w:r>
                </w:p>
              </w:tc>
              <w:tc>
                <w:tcPr>
                  <w:tcW w:w="1509" w:type="dxa"/>
                  <w:shd w:val="clear" w:color="auto" w:fill="auto"/>
                  <w:vAlign w:val="center"/>
                </w:tcPr>
                <w:p>
                  <w:pPr>
                    <w:autoSpaceDE w:val="0"/>
                    <w:autoSpaceDN w:val="0"/>
                    <w:adjustRightInd w:val="0"/>
                    <w:snapToGrid w:val="0"/>
                    <w:jc w:val="center"/>
                    <w:rPr>
                      <w:snapToGrid w:val="0"/>
                      <w:color w:val="000000" w:themeColor="text1"/>
                      <w:szCs w:val="21"/>
                      <w:highlight w:val="yellow"/>
                      <w14:textFill>
                        <w14:solidFill>
                          <w14:schemeClr w14:val="tx1"/>
                        </w14:solidFill>
                      </w14:textFill>
                    </w:rPr>
                  </w:pPr>
                  <w:r>
                    <w:rPr>
                      <w:snapToGrid w:val="0"/>
                      <w:color w:val="000000" w:themeColor="text1"/>
                      <w:szCs w:val="21"/>
                      <w14:textFill>
                        <w14:solidFill>
                          <w14:schemeClr w14:val="tx1"/>
                        </w14:solidFill>
                      </w14:textFill>
                    </w:rPr>
                    <w:t>1、项目大气环境防护距离内不涉及居住区或未搬迁村庄等环境敏感点；2、不涉及3、本项目不涉及危险化学品及危险废物；4、不涉及。</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资源利用效率要求</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加快楼村精细化工园区集中供热、供水、中水回用及配套管网建设。</w:t>
                  </w:r>
                </w:p>
              </w:tc>
              <w:tc>
                <w:tcPr>
                  <w:tcW w:w="1509" w:type="dxa"/>
                  <w:shd w:val="clear" w:color="auto" w:fill="auto"/>
                  <w:vAlign w:val="center"/>
                </w:tcPr>
                <w:p>
                  <w:pPr>
                    <w:autoSpaceDE w:val="0"/>
                    <w:autoSpaceDN w:val="0"/>
                    <w:adjustRightInd w:val="0"/>
                    <w:snapToGrid w:val="0"/>
                    <w:jc w:val="center"/>
                    <w:rPr>
                      <w:snapToGrid w:val="0"/>
                      <w:color w:val="000000" w:themeColor="text1"/>
                      <w:szCs w:val="21"/>
                      <w:highlight w:val="yellow"/>
                      <w14:textFill>
                        <w14:solidFill>
                          <w14:schemeClr w14:val="tx1"/>
                        </w14:solidFill>
                      </w14:textFill>
                    </w:rPr>
                  </w:pPr>
                  <w:r>
                    <w:rPr>
                      <w:snapToGrid w:val="0"/>
                      <w:color w:val="000000" w:themeColor="text1"/>
                      <w:szCs w:val="21"/>
                      <w14:textFill>
                        <w14:solidFill>
                          <w14:schemeClr w14:val="tx1"/>
                        </w14:solidFill>
                      </w14:textFill>
                    </w:rPr>
                    <w:t>不涉及</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restart"/>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重点管控单元4</w:t>
                  </w:r>
                </w:p>
              </w:tc>
              <w:tc>
                <w:tcPr>
                  <w:tcW w:w="636" w:type="dxa"/>
                  <w:vMerge w:val="restart"/>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获嘉县大气弱扩散区（涉及太山镇）</w:t>
                  </w: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空间布局约束</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1、禁止新建、改建及扩建高排放、高污染项目，包括钢铁、有色、水泥、平板玻璃、建筑陶瓷等行业及其他排放重金属、持久性有机污染物的工业项目等。</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2、禁止新、改、扩建“两高”项目。</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1、项目不属于高排放、高污染项目；2、项目</w:t>
                  </w:r>
                  <w:r>
                    <w:rPr>
                      <w:bCs/>
                      <w:snapToGrid w:val="0"/>
                      <w:color w:val="000000" w:themeColor="text1"/>
                      <w:szCs w:val="21"/>
                      <w14:textFill>
                        <w14:solidFill>
                          <w14:schemeClr w14:val="tx1"/>
                        </w14:solidFill>
                      </w14:textFill>
                    </w:rPr>
                    <w:t>不属于</w:t>
                  </w:r>
                  <w:r>
                    <w:rPr>
                      <w:snapToGrid w:val="0"/>
                      <w:color w:val="000000" w:themeColor="text1"/>
                      <w:szCs w:val="21"/>
                      <w14:textFill>
                        <w14:solidFill>
                          <w14:schemeClr w14:val="tx1"/>
                        </w14:solidFill>
                      </w14:textFill>
                    </w:rPr>
                    <w:t>“两高”项目。</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污染物排放管控</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1、二氧化硫、氮氧化物、颗粒物、VOCs全面执行大气污染物特别排放限值。</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2、禁止填埋场渗滤液直排或超标排放。</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1、颗粒物排放浓度执行特别排放限值；2、不涉及</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环境风险防控</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1、有色金属冶炼、铅酸蓄电池、石油加工、化工、电镀、制革和危险化学品生产、储存、使用等企业在拆除生产设施设备、污染治理设施时，要事先制定残留污染物清理和安全处置方案。</w:t>
                  </w:r>
                </w:p>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2、高关注地块划分污染风险等级，纳入优先管控名录。</w:t>
                  </w:r>
                </w:p>
                <w:p>
                  <w:pPr>
                    <w:autoSpaceDE w:val="0"/>
                    <w:autoSpaceDN w:val="0"/>
                    <w:adjustRightInd w:val="0"/>
                    <w:snapToGrid w:val="0"/>
                    <w:rPr>
                      <w:snapToGrid w:val="0"/>
                      <w:color w:val="000000" w:themeColor="text1"/>
                      <w:szCs w:val="21"/>
                      <w14:textFill>
                        <w14:solidFill>
                          <w14:schemeClr w14:val="tx1"/>
                        </w14:solidFill>
                      </w14:textFill>
                    </w:rPr>
                  </w:pPr>
                </w:p>
                <w:p>
                  <w:pPr>
                    <w:autoSpaceDE w:val="0"/>
                    <w:autoSpaceDN w:val="0"/>
                    <w:adjustRightInd w:val="0"/>
                    <w:snapToGrid w:val="0"/>
                    <w:rPr>
                      <w:snapToGrid w:val="0"/>
                      <w:color w:val="000000" w:themeColor="text1"/>
                      <w:szCs w:val="21"/>
                      <w14:textFill>
                        <w14:solidFill>
                          <w14:schemeClr w14:val="tx1"/>
                        </w14:solidFill>
                      </w14:textFill>
                    </w:rPr>
                  </w:pP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 xml:space="preserve">1、不涉及；2、不涉及； </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636" w:type="dxa"/>
                  <w:vMerge w:val="continue"/>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p>
              </w:tc>
              <w:tc>
                <w:tcPr>
                  <w:tcW w:w="570"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资源利用效率要求</w:t>
                  </w:r>
                </w:p>
              </w:tc>
              <w:tc>
                <w:tcPr>
                  <w:tcW w:w="4327" w:type="dxa"/>
                  <w:shd w:val="clear" w:color="auto" w:fill="auto"/>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加快园区集中供热、供水及配套管网等基础设施建设。</w:t>
                  </w:r>
                </w:p>
              </w:tc>
              <w:tc>
                <w:tcPr>
                  <w:tcW w:w="1509"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不涉及</w:t>
                  </w:r>
                </w:p>
              </w:tc>
              <w:tc>
                <w:tcPr>
                  <w:tcW w:w="426" w:type="dxa"/>
                  <w:shd w:val="clear" w:color="auto" w:fill="auto"/>
                  <w:vAlign w:val="center"/>
                </w:tcPr>
                <w:p>
                  <w:pPr>
                    <w:autoSpaceDE w:val="0"/>
                    <w:autoSpaceDN w:val="0"/>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符合要求</w:t>
                  </w:r>
                </w:p>
              </w:tc>
            </w:tr>
          </w:tbl>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jc w:val="both"/>
              <w:rPr>
                <w:rFonts w:ascii="Times New Roman" w:hAnsi="Times New Roman"/>
                <w:b/>
                <w:bCs/>
                <w:snapToGrid w:val="0"/>
                <w:color w:val="000000" w:themeColor="text1"/>
                <w:sz w:val="21"/>
                <w:szCs w:val="21"/>
                <w14:textFill>
                  <w14:solidFill>
                    <w14:schemeClr w14:val="tx1"/>
                  </w14:solidFill>
                </w14:textFill>
              </w:rPr>
            </w:pPr>
          </w:p>
          <w:p>
            <w:pPr>
              <w:pStyle w:val="14"/>
              <w:adjustRightInd w:val="0"/>
              <w:snapToGrid w:val="0"/>
              <w:spacing w:before="360" w:beforeLines="150" w:beforeAutospacing="0" w:after="0" w:afterAutospacing="0"/>
              <w:ind w:firstLine="422" w:firstLineChars="200"/>
              <w:jc w:val="both"/>
              <w:rPr>
                <w:rFonts w:ascii="Times New Roman" w:hAnsi="Times New Roman"/>
                <w:b/>
                <w:bCs/>
                <w:snapToGrid w:val="0"/>
                <w:color w:val="000000" w:themeColor="text1"/>
                <w:sz w:val="21"/>
                <w:szCs w:val="21"/>
                <w14:textFill>
                  <w14:solidFill>
                    <w14:schemeClr w14:val="tx1"/>
                  </w14:solidFill>
                </w14:textFill>
              </w:rPr>
            </w:pPr>
            <w:r>
              <w:rPr>
                <w:rFonts w:ascii="Times New Roman" w:hAnsi="Times New Roman"/>
                <w:b/>
                <w:bCs/>
                <w:snapToGrid w:val="0"/>
                <w:color w:val="000000" w:themeColor="text1"/>
                <w:sz w:val="21"/>
                <w:szCs w:val="21"/>
                <w14:textFill>
                  <w14:solidFill>
                    <w14:schemeClr w14:val="tx1"/>
                  </w14:solidFill>
                </w14:textFill>
              </w:rPr>
              <w:t>6、“三线一单”控制要求的符合性分析</w:t>
            </w:r>
          </w:p>
          <w:p>
            <w:pPr>
              <w:pStyle w:val="14"/>
              <w:spacing w:before="0" w:beforeAutospacing="0" w:after="0" w:afterAutospacing="0" w:line="520" w:lineRule="exact"/>
              <w:ind w:firstLine="420" w:firstLineChars="20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项目与“三线一单”控制要求的符合性分析详见下表</w:t>
            </w:r>
          </w:p>
          <w:p>
            <w:pPr>
              <w:pStyle w:val="71"/>
              <w:autoSpaceDE w:val="0"/>
              <w:autoSpaceDN w:val="0"/>
              <w:adjustRightInd w:val="0"/>
              <w:snapToGrid w:val="0"/>
              <w:ind w:left="420" w:firstLine="0" w:firstLineChars="0"/>
              <w:jc w:val="center"/>
              <w:rPr>
                <w:b/>
                <w:bCs/>
                <w:snapToGrid w:val="0"/>
                <w:color w:val="000000" w:themeColor="text1"/>
                <w:szCs w:val="21"/>
                <w14:textFill>
                  <w14:solidFill>
                    <w14:schemeClr w14:val="tx1"/>
                  </w14:solidFill>
                </w14:textFill>
              </w:rPr>
            </w:pPr>
            <w:r>
              <w:rPr>
                <w:b/>
                <w:bCs/>
                <w:snapToGrid w:val="0"/>
                <w:color w:val="000000" w:themeColor="text1"/>
                <w:szCs w:val="21"/>
                <w14:textFill>
                  <w14:solidFill>
                    <w14:schemeClr w14:val="tx1"/>
                  </w14:solidFill>
                </w14:textFill>
              </w:rPr>
              <w:t>表5  项目与“三线一单”控制要求相符性分析表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6140"/>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类别</w:t>
                  </w:r>
                </w:p>
              </w:tc>
              <w:tc>
                <w:tcPr>
                  <w:tcW w:w="3699"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项目与“三线一单”相符性分析</w:t>
                  </w:r>
                </w:p>
              </w:tc>
              <w:tc>
                <w:tcPr>
                  <w:tcW w:w="581"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生态保护红线</w:t>
                  </w:r>
                </w:p>
              </w:tc>
              <w:tc>
                <w:tcPr>
                  <w:tcW w:w="3699" w:type="pct"/>
                  <w:shd w:val="clear" w:color="auto" w:fill="auto"/>
                  <w:vAlign w:val="center"/>
                </w:tcPr>
                <w:p>
                  <w:pPr>
                    <w:pStyle w:val="14"/>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项目选址于新乡市获嘉县太山镇罗旗营村西南角，不在自然保护区、风景名胜区、饮用水源保护地和其他需要特别保护等法律法规禁止开发建设的区域。因此，项目建设符合生态红线控制要求。</w:t>
                  </w:r>
                </w:p>
              </w:tc>
              <w:tc>
                <w:tcPr>
                  <w:tcW w:w="581"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环境质量底线</w:t>
                  </w:r>
                </w:p>
              </w:tc>
              <w:tc>
                <w:tcPr>
                  <w:tcW w:w="3699" w:type="pct"/>
                  <w:shd w:val="clear" w:color="auto" w:fill="auto"/>
                  <w:vAlign w:val="center"/>
                </w:tcPr>
                <w:p>
                  <w:pPr>
                    <w:pStyle w:val="14"/>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大气环境质量目标为《环境空气质量标准》（GB3095-2012）及其修改单中二级标准；周边地表水环境目标为《地表水环境质量标准》（GB3838-2002）</w:t>
                  </w:r>
                  <w:r>
                    <w:rPr>
                      <w:rFonts w:hint="eastAsia" w:cs="宋体"/>
                      <w:snapToGrid w:val="0"/>
                      <w:color w:val="000000" w:themeColor="text1"/>
                      <w:sz w:val="21"/>
                      <w:szCs w:val="21"/>
                      <w14:textFill>
                        <w14:solidFill>
                          <w14:schemeClr w14:val="tx1"/>
                        </w14:solidFill>
                      </w14:textFill>
                    </w:rPr>
                    <w:t>Ⅳ</w:t>
                  </w:r>
                  <w:r>
                    <w:rPr>
                      <w:rFonts w:ascii="Times New Roman" w:hAnsi="Times New Roman"/>
                      <w:snapToGrid w:val="0"/>
                      <w:color w:val="000000" w:themeColor="text1"/>
                      <w:sz w:val="21"/>
                      <w:szCs w:val="21"/>
                      <w14:textFill>
                        <w14:solidFill>
                          <w14:schemeClr w14:val="tx1"/>
                        </w14:solidFill>
                      </w14:textFill>
                    </w:rPr>
                    <w:t>类；声环境质量目标为《声环境质量标准》（GB3096-2008）2类区标准。根据项目所在地环境质量现状调查和</w:t>
                  </w:r>
                  <w:r>
                    <w:rPr>
                      <w:rFonts w:ascii="Times New Roman" w:hAnsi="Times New Roman"/>
                      <w:color w:val="000000" w:themeColor="text1"/>
                      <w:sz w:val="21"/>
                      <w:szCs w:val="21"/>
                      <w14:textFill>
                        <w14:solidFill>
                          <w14:schemeClr w14:val="tx1"/>
                        </w14:solidFill>
                      </w14:textFill>
                    </w:rPr>
                    <w:t>污染排放工程分析可</w:t>
                  </w:r>
                  <w:r>
                    <w:rPr>
                      <w:rFonts w:ascii="Times New Roman" w:hAnsi="Times New Roman"/>
                      <w:snapToGrid w:val="0"/>
                      <w:color w:val="000000" w:themeColor="text1"/>
                      <w:sz w:val="21"/>
                      <w:szCs w:val="21"/>
                      <w14:textFill>
                        <w14:solidFill>
                          <w14:schemeClr w14:val="tx1"/>
                        </w14:solidFill>
                      </w14:textFill>
                    </w:rPr>
                    <w:t>知，本项目运营后对区域内环境影响较小，环境质量可以保持现有水平，不会对区域环境质量底线造成冲击。</w:t>
                  </w:r>
                </w:p>
              </w:tc>
              <w:tc>
                <w:tcPr>
                  <w:tcW w:w="581"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资源利用上线</w:t>
                  </w:r>
                </w:p>
              </w:tc>
              <w:tc>
                <w:tcPr>
                  <w:tcW w:w="3699" w:type="pct"/>
                  <w:shd w:val="clear" w:color="auto" w:fill="auto"/>
                  <w:vAlign w:val="center"/>
                </w:tcPr>
                <w:p>
                  <w:pPr>
                    <w:pStyle w:val="14"/>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项目用水为自备水井、用电为由当地供电系统供给，项目运行过程通过内部管理、设备选择、原辅材料的选用和管理、废物回收利用、污染治理等多方面采取合理可行的防治措施，以“节能、降耗、减污”为目标，有效的控制污染。项目的水、电等资源利用不会突破区域的资源利用上线。</w:t>
                  </w:r>
                </w:p>
              </w:tc>
              <w:tc>
                <w:tcPr>
                  <w:tcW w:w="581"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生态准入清单</w:t>
                  </w:r>
                </w:p>
              </w:tc>
              <w:tc>
                <w:tcPr>
                  <w:tcW w:w="3699" w:type="pct"/>
                  <w:shd w:val="clear" w:color="auto" w:fill="auto"/>
                  <w:vAlign w:val="center"/>
                </w:tcPr>
                <w:p>
                  <w:pPr>
                    <w:autoSpaceDE w:val="0"/>
                    <w:autoSpaceDN w:val="0"/>
                    <w:adjustRightInd w:val="0"/>
                    <w:snapToGrid w:val="0"/>
                    <w:jc w:val="both"/>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1、项目符合国家产业政策，属于允许类项目。</w:t>
                  </w:r>
                </w:p>
                <w:p>
                  <w:pPr>
                    <w:autoSpaceDE w:val="0"/>
                    <w:autoSpaceDN w:val="0"/>
                    <w:adjustRightInd w:val="0"/>
                    <w:snapToGrid w:val="0"/>
                    <w:jc w:val="both"/>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2、项目符合《新乡市环境污染防治攻坚指挥部办公室关于印发新乡市2022年大气、水、土壤污染防治攻坚战及农业农村污染治理攻坚战实施方案的通知》（豫环委办[2022]60号文件中准入管理要求。</w:t>
                  </w:r>
                </w:p>
                <w:p>
                  <w:pPr>
                    <w:pStyle w:val="14"/>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3、项目符合《河南省重污染天气重点行业应急减排措施制定技术指南》（2021年修订版）的准入要求。</w:t>
                  </w:r>
                </w:p>
                <w:p>
                  <w:pPr>
                    <w:pStyle w:val="14"/>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4、经查阅《市场准入负面清单》（2022年版），项目不属于文件中禁止准入类项目。</w:t>
                  </w:r>
                </w:p>
                <w:p>
                  <w:pPr>
                    <w:pStyle w:val="14"/>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5、经查阅《新乡市</w:t>
                  </w:r>
                  <w:r>
                    <w:rPr>
                      <w:rFonts w:ascii="Times New Roman" w:hAnsi="Times New Roman"/>
                      <w:snapToGrid w:val="0"/>
                      <w:color w:val="000000" w:themeColor="text1"/>
                      <w:sz w:val="21"/>
                      <w:szCs w:val="21"/>
                      <w14:textFill>
                        <w14:solidFill>
                          <w14:schemeClr w14:val="tx1"/>
                        </w14:solidFill>
                      </w14:textFill>
                    </w:rPr>
                    <w:t>“三线一单”生态环境准入清单》</w:t>
                  </w:r>
                  <w:r>
                    <w:rPr>
                      <w:rFonts w:hint="eastAsia"/>
                      <w:color w:val="000000" w:themeColor="text1"/>
                      <w:sz w:val="21"/>
                      <w:szCs w:val="21"/>
                      <w14:textFill>
                        <w14:solidFill>
                          <w14:schemeClr w14:val="tx1"/>
                        </w14:solidFill>
                      </w14:textFill>
                    </w:rPr>
                    <w:t>（试行）</w:t>
                  </w:r>
                  <w:r>
                    <w:rPr>
                      <w:rFonts w:ascii="Times New Roman" w:hAnsi="Times New Roman"/>
                      <w:snapToGrid w:val="0"/>
                      <w:color w:val="000000" w:themeColor="text1"/>
                      <w:sz w:val="21"/>
                      <w:szCs w:val="21"/>
                      <w14:textFill>
                        <w14:solidFill>
                          <w14:schemeClr w14:val="tx1"/>
                        </w14:solidFill>
                      </w14:textFill>
                    </w:rPr>
                    <w:t>，项目符合相关要求。</w:t>
                  </w:r>
                </w:p>
              </w:tc>
              <w:tc>
                <w:tcPr>
                  <w:tcW w:w="581" w:type="pct"/>
                  <w:shd w:val="clear" w:color="auto" w:fill="auto"/>
                  <w:vAlign w:val="center"/>
                </w:tcPr>
                <w:p>
                  <w:pPr>
                    <w:pStyle w:val="14"/>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bl>
          <w:p>
            <w:pPr>
              <w:pStyle w:val="14"/>
              <w:spacing w:before="0" w:beforeAutospacing="0" w:after="0" w:afterAutospacing="0" w:line="520" w:lineRule="exact"/>
              <w:jc w:val="both"/>
              <w:rPr>
                <w:rFonts w:ascii="Times New Roman" w:hAnsi="Times New Roman"/>
                <w:snapToGrid w:val="0"/>
                <w:color w:val="000000" w:themeColor="text1"/>
                <w:szCs w:val="24"/>
                <w14:textFill>
                  <w14:solidFill>
                    <w14:schemeClr w14:val="tx1"/>
                  </w14:solidFill>
                </w14:textFill>
              </w:rPr>
            </w:pPr>
          </w:p>
        </w:tc>
      </w:tr>
    </w:tbl>
    <w:p>
      <w:pPr>
        <w:spacing w:line="360" w:lineRule="auto"/>
        <w:ind w:firstLine="600"/>
        <w:outlineLvl w:val="0"/>
        <w:rPr>
          <w:color w:val="000000" w:themeColor="text1"/>
          <w:sz w:val="30"/>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14"/>
        <w:adjustRightInd w:val="0"/>
        <w:snapToGrid w:val="0"/>
        <w:spacing w:before="120" w:beforeLines="50" w:beforeAutospacing="0" w:after="0" w:afterAutospacing="0" w:line="520" w:lineRule="exact"/>
        <w:ind w:firstLine="601"/>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二、建设项目工程分析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73" w:type="pct"/>
            <w:vAlign w:val="center"/>
          </w:tcPr>
          <w:p>
            <w:pPr>
              <w:adjustRightInd w:val="0"/>
              <w:snapToGrid w:val="0"/>
              <w:rPr>
                <w:b/>
                <w:color w:val="000000" w:themeColor="text1"/>
                <w:sz w:val="24"/>
                <w14:textFill>
                  <w14:solidFill>
                    <w14:schemeClr w14:val="tx1"/>
                  </w14:solidFill>
                </w14:textFill>
              </w:rPr>
            </w:pPr>
            <w:r>
              <w:rPr>
                <w:bCs/>
                <w:color w:val="000000" w:themeColor="text1"/>
                <w:sz w:val="24"/>
                <w14:textFill>
                  <w14:solidFill>
                    <w14:schemeClr w14:val="tx1"/>
                  </w14:solidFill>
                </w14:textFill>
              </w:rPr>
              <w:t>建设内容</w:t>
            </w:r>
          </w:p>
        </w:tc>
        <w:tc>
          <w:tcPr>
            <w:tcW w:w="4627" w:type="pct"/>
            <w:shd w:val="clear" w:color="auto" w:fill="auto"/>
          </w:tcPr>
          <w:p>
            <w:pPr>
              <w:pStyle w:val="3"/>
              <w:spacing w:line="48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工程概况：</w:t>
            </w:r>
          </w:p>
          <w:p>
            <w:pPr>
              <w:pStyle w:val="3"/>
              <w:spacing w:line="48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河南省大公实业发展有限公司投资15000万元，在新乡市获嘉县太山镇罗旗营村西南角建设年产16万立方米装配式预制构件、年产20万吨连续式泡沫沥青厂拌新型材料项目。项目占地18333.33m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，新建标准化厂房</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栋</w:t>
            </w:r>
            <w:r>
              <w:rPr>
                <w:rFonts w:hint="eastAsia"/>
                <w:color w:val="000000" w:themeColor="text1"/>
                <w:sz w:val="24"/>
                <w:szCs w:val="24"/>
                <w14:textFill>
                  <w14:solidFill>
                    <w14:schemeClr w14:val="tx1"/>
                  </w14:solidFill>
                </w14:textFill>
              </w:rPr>
              <w:t>及</w:t>
            </w:r>
            <w:r>
              <w:rPr>
                <w:color w:val="000000" w:themeColor="text1"/>
                <w:sz w:val="24"/>
                <w:szCs w:val="24"/>
                <w14:textFill>
                  <w14:solidFill>
                    <w14:schemeClr w14:val="tx1"/>
                  </w14:solidFill>
                </w14:textFill>
              </w:rPr>
              <w:t>仓库</w:t>
            </w:r>
            <w:r>
              <w:rPr>
                <w:rFonts w:hint="eastAsia"/>
                <w:color w:val="000000" w:themeColor="text1"/>
                <w:sz w:val="24"/>
                <w:szCs w:val="24"/>
                <w14:textFill>
                  <w14:solidFill>
                    <w14:schemeClr w14:val="tx1"/>
                  </w14:solidFill>
                </w14:textFill>
              </w:rPr>
              <w:t>1栋</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总</w:t>
            </w:r>
            <w:r>
              <w:rPr>
                <w:color w:val="000000" w:themeColor="text1"/>
                <w:sz w:val="24"/>
                <w:szCs w:val="24"/>
                <w14:textFill>
                  <w14:solidFill>
                    <w14:schemeClr w14:val="tx1"/>
                  </w14:solidFill>
                </w14:textFill>
              </w:rPr>
              <w:t>建筑面积16910m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其中</w:t>
            </w:r>
            <w:r>
              <w:rPr>
                <w:color w:val="000000" w:themeColor="text1"/>
                <w:sz w:val="24"/>
                <w:szCs w:val="24"/>
                <w14:textFill>
                  <w14:solidFill>
                    <w14:schemeClr w14:val="tx1"/>
                  </w14:solidFill>
                </w14:textFill>
              </w:rPr>
              <w:t>仓库</w:t>
            </w:r>
            <w:r>
              <w:rPr>
                <w:rFonts w:hint="eastAsia"/>
                <w:color w:val="000000" w:themeColor="text1"/>
                <w:sz w:val="24"/>
                <w:szCs w:val="24"/>
                <w14:textFill>
                  <w14:solidFill>
                    <w14:schemeClr w14:val="tx1"/>
                  </w14:solidFill>
                </w14:textFill>
              </w:rPr>
              <w:t>建筑</w:t>
            </w:r>
            <w:r>
              <w:rPr>
                <w:color w:val="000000" w:themeColor="text1"/>
                <w:sz w:val="24"/>
                <w:szCs w:val="24"/>
                <w14:textFill>
                  <w14:solidFill>
                    <w14:schemeClr w14:val="tx1"/>
                  </w14:solidFill>
                </w14:textFill>
              </w:rPr>
              <w:t>面积6750m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另外</w:t>
            </w:r>
            <w:r>
              <w:rPr>
                <w:rFonts w:hint="eastAsia"/>
                <w:color w:val="000000" w:themeColor="text1"/>
                <w:sz w:val="24"/>
                <w:szCs w:val="24"/>
                <w14:textFill>
                  <w14:solidFill>
                    <w14:schemeClr w14:val="tx1"/>
                  </w14:solidFill>
                </w14:textFill>
              </w:rPr>
              <w:t>建设1栋</w:t>
            </w:r>
            <w:r>
              <w:rPr>
                <w:color w:val="000000" w:themeColor="text1"/>
                <w:sz w:val="24"/>
                <w:szCs w:val="24"/>
                <w14:textFill>
                  <w14:solidFill>
                    <w14:schemeClr w14:val="tx1"/>
                  </w14:solidFill>
                </w14:textFill>
              </w:rPr>
              <w:t>办公楼，建筑面积</w:t>
            </w:r>
            <w:r>
              <w:rPr>
                <w:rFonts w:hint="eastAsia"/>
                <w:color w:val="000000" w:themeColor="text1"/>
                <w:sz w:val="24"/>
                <w:szCs w:val="24"/>
                <w14:textFill>
                  <w14:solidFill>
                    <w14:schemeClr w14:val="tx1"/>
                  </w14:solidFill>
                </w14:textFill>
              </w:rPr>
              <w:t>500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p>
          <w:p>
            <w:pPr>
              <w:pStyle w:val="3"/>
              <w:spacing w:line="480" w:lineRule="exact"/>
              <w:ind w:firstLine="480" w:firstLineChars="200"/>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项目利用外购机制砂、水泥</w:t>
            </w:r>
            <w:r>
              <w:rPr>
                <w:rFonts w:hint="eastAsia"/>
                <w:bCs/>
                <w:color w:val="000000" w:themeColor="text1"/>
                <w:sz w:val="24"/>
                <w:szCs w:val="24"/>
                <w14:textFill>
                  <w14:solidFill>
                    <w14:schemeClr w14:val="tx1"/>
                  </w14:solidFill>
                </w14:textFill>
              </w:rPr>
              <w:t>、石子</w:t>
            </w:r>
            <w:r>
              <w:rPr>
                <w:bCs/>
                <w:color w:val="000000" w:themeColor="text1"/>
                <w:sz w:val="24"/>
                <w:szCs w:val="24"/>
                <w14:textFill>
                  <w14:solidFill>
                    <w14:schemeClr w14:val="tx1"/>
                  </w14:solidFill>
                </w14:textFill>
              </w:rPr>
              <w:t>等原料，通过混合搅拌、预制、蒸压养护等工艺生产</w:t>
            </w:r>
            <w:r>
              <w:rPr>
                <w:color w:val="000000" w:themeColor="text1"/>
                <w:sz w:val="24"/>
                <w:szCs w:val="24"/>
                <w14:textFill>
                  <w14:solidFill>
                    <w14:schemeClr w14:val="tx1"/>
                  </w14:solidFill>
                </w14:textFill>
              </w:rPr>
              <w:t>装配式</w:t>
            </w:r>
            <w:r>
              <w:rPr>
                <w:bCs/>
                <w:color w:val="000000" w:themeColor="text1"/>
                <w:sz w:val="24"/>
                <w:szCs w:val="24"/>
                <w14:textFill>
                  <w14:solidFill>
                    <w14:schemeClr w14:val="tx1"/>
                  </w14:solidFill>
                </w14:textFill>
              </w:rPr>
              <w:t>预制构件；通过分级喷洒、冷拌合等工艺生产</w:t>
            </w:r>
            <w:r>
              <w:rPr>
                <w:color w:val="000000" w:themeColor="text1"/>
                <w:sz w:val="24"/>
                <w:szCs w:val="24"/>
                <w14:textFill>
                  <w14:solidFill>
                    <w14:schemeClr w14:val="tx1"/>
                  </w14:solidFill>
                </w14:textFill>
              </w:rPr>
              <w:t>连续式泡沫沥青厂拌新型材料（沥青冷拌混合料）</w:t>
            </w:r>
            <w:r>
              <w:rPr>
                <w:b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项目建成后可达到年产16万立方米装配式预制构件，主要用于路桥工程和管道工程；年产20万吨连续式泡沫沥青厂拌新型材料，主要用于低等级公路、道路。</w:t>
            </w:r>
          </w:p>
          <w:p>
            <w:pPr>
              <w:pStyle w:val="3"/>
              <w:spacing w:line="48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1、项目组成及建设内容</w:t>
            </w:r>
          </w:p>
          <w:p>
            <w:pPr>
              <w:pStyle w:val="71"/>
              <w:autoSpaceDE w:val="0"/>
              <w:autoSpaceDN w:val="0"/>
              <w:adjustRightInd w:val="0"/>
              <w:snapToGrid w:val="0"/>
              <w:ind w:left="420"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表6 本项目主要组成一览表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27"/>
              <w:gridCol w:w="662"/>
              <w:gridCol w:w="2415"/>
              <w:gridCol w:w="340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项目组成</w:t>
                  </w:r>
                </w:p>
              </w:tc>
              <w:tc>
                <w:tcPr>
                  <w:tcW w:w="663" w:type="pct"/>
                  <w:gridSpan w:val="2"/>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3544" w:type="pct"/>
                  <w:gridSpan w:val="2"/>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5" w:type="pct"/>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1#生产车间</w:t>
                  </w:r>
                </w:p>
              </w:tc>
              <w:tc>
                <w:tcPr>
                  <w:tcW w:w="3544"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1座，规格50m×50m，建筑面积2500m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，1F，钢结构，主要用于装配式预制构件制作。</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2#生产车间</w:t>
                  </w:r>
                </w:p>
              </w:tc>
              <w:tc>
                <w:tcPr>
                  <w:tcW w:w="3544"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1座，规格25m×60m，建筑面积1500m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，1F，钢结构，主要用于装配式预制构件制作。</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3#生产车间</w:t>
                  </w:r>
                </w:p>
              </w:tc>
              <w:tc>
                <w:tcPr>
                  <w:tcW w:w="3544" w:type="pct"/>
                  <w:gridSpan w:val="2"/>
                  <w:tcBorders>
                    <w:bottom w:val="single" w:color="auto" w:sz="4" w:space="0"/>
                  </w:tcBorders>
                  <w:shd w:val="clear" w:color="auto" w:fill="auto"/>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1座，规格70m×28m，建筑面积1960m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，1F，钢结构，主要用于钢筋数控加工。</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4#生产车间</w:t>
                  </w:r>
                </w:p>
              </w:tc>
              <w:tc>
                <w:tcPr>
                  <w:tcW w:w="3544"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1座，规格70m×60m，建筑面积4200m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，1F，钢结构，主要用于生产泡沫沥青厂拌新型材料。</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晾晒区</w:t>
                  </w:r>
                </w:p>
              </w:tc>
              <w:tc>
                <w:tcPr>
                  <w:tcW w:w="3544"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面积</w:t>
                  </w:r>
                  <w:r>
                    <w:rPr>
                      <w:color w:val="000000" w:themeColor="text1"/>
                      <w:szCs w:val="21"/>
                      <w14:textFill>
                        <w14:solidFill>
                          <w14:schemeClr w14:val="tx1"/>
                        </w14:solidFill>
                      </w14:textFill>
                    </w:rPr>
                    <w:t>3000m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，用于预制构件晾晒、暂存。</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储运工程</w:t>
                  </w:r>
                </w:p>
              </w:tc>
              <w:tc>
                <w:tcPr>
                  <w:tcW w:w="663"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仓库</w:t>
                  </w:r>
                </w:p>
              </w:tc>
              <w:tc>
                <w:tcPr>
                  <w:tcW w:w="3544" w:type="pct"/>
                  <w:gridSpan w:val="2"/>
                  <w:tcBorders>
                    <w:bottom w:val="single" w:color="auto" w:sz="4" w:space="0"/>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钢构，1座，规格50m×135 m，建筑面积6750m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98" w:type="pct"/>
                  <w:tcBorders>
                    <w:bottom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shd w:val="clear" w:color="auto" w:fill="FFFFFF"/>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辅助工程</w:t>
                  </w:r>
                </w:p>
              </w:tc>
              <w:tc>
                <w:tcPr>
                  <w:tcW w:w="663" w:type="pct"/>
                  <w:gridSpan w:val="2"/>
                  <w:shd w:val="clear" w:color="auto" w:fill="FFFFFF"/>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办公区</w:t>
                  </w:r>
                </w:p>
              </w:tc>
              <w:tc>
                <w:tcPr>
                  <w:tcW w:w="3544" w:type="pct"/>
                  <w:gridSpan w:val="2"/>
                  <w:shd w:val="clear" w:color="auto" w:fill="FFFFFF"/>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钢构，1座，规格50m×10 m，建筑面积500m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，位于4#生产车间内部，</w:t>
                  </w:r>
                </w:p>
              </w:tc>
              <w:tc>
                <w:tcPr>
                  <w:tcW w:w="398" w:type="pct"/>
                  <w:shd w:val="clear" w:color="auto" w:fill="FFFFFF"/>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663" w:type="pct"/>
                  <w:gridSpan w:val="2"/>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3942" w:type="pct"/>
                  <w:gridSpan w:val="3"/>
                  <w:shd w:val="clear" w:color="auto" w:fill="auto"/>
                  <w:vAlign w:val="center"/>
                </w:tcPr>
                <w:p>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厂内自备井提供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3942" w:type="pct"/>
                  <w:gridSpan w:val="3"/>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由当地供电系统供给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供气</w:t>
                  </w:r>
                </w:p>
              </w:tc>
              <w:tc>
                <w:tcPr>
                  <w:tcW w:w="3942" w:type="pct"/>
                  <w:gridSpan w:val="3"/>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外购天然气</w:t>
                  </w:r>
                  <w:r>
                    <w:rPr>
                      <w:rFonts w:hint="eastAsia"/>
                      <w:color w:val="000000" w:themeColor="text1"/>
                      <w:szCs w:val="21"/>
                      <w14:textFill>
                        <w14:solidFill>
                          <w14:schemeClr w14:val="tx1"/>
                        </w14:solidFill>
                      </w14:textFill>
                    </w:rPr>
                    <w:t>，槽车运输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restart"/>
                  <w:shd w:val="clear" w:color="auto" w:fill="auto"/>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环保工程</w:t>
                  </w:r>
                </w:p>
              </w:tc>
              <w:tc>
                <w:tcPr>
                  <w:tcW w:w="663" w:type="pct"/>
                  <w:gridSpan w:val="2"/>
                  <w:vMerge w:val="restart"/>
                  <w:shd w:val="clear" w:color="auto" w:fill="auto"/>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废气</w:t>
                  </w:r>
                </w:p>
              </w:tc>
              <w:tc>
                <w:tcPr>
                  <w:tcW w:w="1471" w:type="pct"/>
                  <w:shd w:val="clear" w:color="auto" w:fill="auto"/>
                  <w:vAlign w:val="center"/>
                </w:tcPr>
                <w:p>
                  <w:pPr>
                    <w:adjustRightInd w:val="0"/>
                    <w:snapToGrid w:val="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投料、</w:t>
                  </w:r>
                  <w:r>
                    <w:rPr>
                      <w:color w:val="000000" w:themeColor="text1"/>
                      <w:szCs w:val="21"/>
                      <w14:textFill>
                        <w14:solidFill>
                          <w14:schemeClr w14:val="tx1"/>
                        </w14:solidFill>
                      </w14:textFill>
                    </w:rPr>
                    <w:t>物料输送</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覆膜袋式除尘器+15m高排气筒DA001</w:t>
                  </w:r>
                </w:p>
              </w:tc>
              <w:tc>
                <w:tcPr>
                  <w:tcW w:w="398"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料仓储存呼吸孔</w:t>
                  </w:r>
                </w:p>
              </w:tc>
              <w:tc>
                <w:tcPr>
                  <w:tcW w:w="2073"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覆膜袋式除尘器+15m高排气筒DA002</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1#搅拌</w:t>
                  </w:r>
                </w:p>
              </w:tc>
              <w:tc>
                <w:tcPr>
                  <w:tcW w:w="2073"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覆膜袋式除尘器+15m高排气筒DA003</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2#搅拌</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覆膜袋式除尘器+15m高排气筒DA004</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3#搅拌</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覆膜袋式除尘器+15m高排气筒DA005</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燃气锅炉</w:t>
                  </w:r>
                </w:p>
              </w:tc>
              <w:tc>
                <w:tcPr>
                  <w:tcW w:w="2073"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采用低氮燃烧器+8m高排气筒排放DA006</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663" w:type="pct"/>
                  <w:gridSpan w:val="2"/>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车辆运输扬尘、物料装卸粉尘</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采取车间密闭，厂区道路硬化并定期清扫，料仓库顶部设置高压喷雾装置，厂区设置高空喷淋装置，厂区及料场进出口设置车辆冲洗装置</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403" w:type="pct"/>
                  <w:vMerge w:val="restart"/>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生产废水</w:t>
                  </w:r>
                </w:p>
              </w:tc>
              <w:tc>
                <w:tcPr>
                  <w:tcW w:w="1471" w:type="pct"/>
                  <w:shd w:val="clear" w:color="auto" w:fill="auto"/>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车辆冲洗废水</w:t>
                  </w:r>
                </w:p>
              </w:tc>
              <w:tc>
                <w:tcPr>
                  <w:tcW w:w="2073" w:type="pct"/>
                  <w:shd w:val="clear" w:color="auto" w:fill="auto"/>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经沉淀池（15m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）处理后循环使用，不外排</w:t>
                  </w:r>
                </w:p>
              </w:tc>
              <w:tc>
                <w:tcPr>
                  <w:tcW w:w="398"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搅拌机清洗废水</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经沉淀池（5m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）处理后循环使用，不外排</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snapToGrid w:val="0"/>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锅炉排污水</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进入搅拌添加水</w:t>
                  </w:r>
                  <w:r>
                    <w:rPr>
                      <w:color w:val="000000" w:themeColor="text1"/>
                      <w:szCs w:val="21"/>
                      <w14:textFill>
                        <w14:solidFill>
                          <w14:schemeClr w14:val="tx1"/>
                        </w14:solidFill>
                      </w14:textFill>
                    </w:rPr>
                    <w:t>中</w:t>
                  </w:r>
                  <w:r>
                    <w:rPr>
                      <w:rFonts w:hint="eastAsia"/>
                      <w:color w:val="000000" w:themeColor="text1"/>
                      <w:szCs w:val="21"/>
                      <w14:textFill>
                        <w14:solidFill>
                          <w14:schemeClr w14:val="tx1"/>
                        </w14:solidFill>
                      </w14:textFill>
                    </w:rPr>
                    <w:t>，自然蒸发</w:t>
                  </w:r>
                </w:p>
              </w:tc>
              <w:tc>
                <w:tcPr>
                  <w:tcW w:w="398"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软化处理废水</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进入搅拌添加水中，自然蒸发</w:t>
                  </w:r>
                </w:p>
              </w:tc>
              <w:tc>
                <w:tcPr>
                  <w:tcW w:w="398"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职工生活污水</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经化粪池（5m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）处理后，定期清运</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4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设备噪声</w:t>
                  </w:r>
                </w:p>
              </w:tc>
              <w:tc>
                <w:tcPr>
                  <w:tcW w:w="3544" w:type="pct"/>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基础减振、厂房隔声</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403"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沉淀池沉渣</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沉淀池沉渣置于一般固废暂存间（</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），定期外售用于制砖、修路等</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钢筋裁剪下脚料</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置于一般固废暂存间（</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），定期外售给废品回收站</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员工生活垃圾</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垃圾桶若干</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5"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260" w:type="pct"/>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471"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废树脂</w:t>
                  </w:r>
                </w:p>
              </w:tc>
              <w:tc>
                <w:tcPr>
                  <w:tcW w:w="207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经密封罐储存后，存放于危废暂存间（10m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），定期委托具有资质的单位安全处置</w:t>
                  </w:r>
                </w:p>
              </w:tc>
              <w:tc>
                <w:tcPr>
                  <w:tcW w:w="39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bl>
          <w:p>
            <w:pPr>
              <w:pStyle w:val="3"/>
              <w:spacing w:line="52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2、项目产品方案</w:t>
            </w:r>
          </w:p>
          <w:p>
            <w:pPr>
              <w:pStyle w:val="71"/>
              <w:numPr>
                <w:ilvl w:val="0"/>
                <w:numId w:val="1"/>
              </w:numPr>
              <w:autoSpaceDE w:val="0"/>
              <w:autoSpaceDN w:val="0"/>
              <w:adjustRightInd w:val="0"/>
              <w:snapToGrid w:val="0"/>
              <w:spacing w:before="240" w:beforeLines="10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本项目生产规模及产品方案</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83"/>
              <w:gridCol w:w="1658"/>
              <w:gridCol w:w="1141"/>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842"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010"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年产量</w:t>
                  </w:r>
                </w:p>
              </w:tc>
              <w:tc>
                <w:tcPr>
                  <w:tcW w:w="69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主要生产单元</w:t>
                  </w:r>
                </w:p>
              </w:tc>
              <w:tc>
                <w:tcPr>
                  <w:tcW w:w="2128"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42" w:type="pct"/>
                  <w:vMerge w:val="restart"/>
                  <w:vAlign w:val="center"/>
                </w:tcPr>
                <w:p>
                  <w:pPr>
                    <w:contextualSpacing/>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装配式预制构件</w:t>
                  </w:r>
                </w:p>
              </w:tc>
              <w:tc>
                <w:tcPr>
                  <w:tcW w:w="1010" w:type="pct"/>
                  <w:vAlign w:val="center"/>
                </w:tcPr>
                <w:p>
                  <w:pPr>
                    <w:pStyle w:val="3"/>
                    <w:jc w:val="center"/>
                    <w:rPr>
                      <w:color w:val="000000" w:themeColor="text1"/>
                      <w:sz w:val="21"/>
                      <w:szCs w:val="21"/>
                      <w:vertAlign w:val="superscript"/>
                      <w14:textFill>
                        <w14:solidFill>
                          <w14:schemeClr w14:val="tx1"/>
                        </w14:solidFill>
                      </w14:textFill>
                    </w:rPr>
                  </w:pPr>
                  <w:r>
                    <w:rPr>
                      <w:color w:val="000000" w:themeColor="text1"/>
                      <w:sz w:val="21"/>
                      <w:szCs w:val="21"/>
                      <w14:textFill>
                        <w14:solidFill>
                          <w14:schemeClr w14:val="tx1"/>
                        </w14:solidFill>
                      </w14:textFill>
                    </w:rPr>
                    <w:t>8万m</w:t>
                  </w:r>
                  <w:r>
                    <w:rPr>
                      <w:color w:val="000000" w:themeColor="text1"/>
                      <w:sz w:val="21"/>
                      <w:szCs w:val="21"/>
                      <w:vertAlign w:val="superscript"/>
                      <w14:textFill>
                        <w14:solidFill>
                          <w14:schemeClr w14:val="tx1"/>
                        </w14:solidFill>
                      </w14:textFill>
                    </w:rPr>
                    <w:t>3</w:t>
                  </w:r>
                </w:p>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（折合约19.26t/a）</w:t>
                  </w:r>
                </w:p>
              </w:tc>
              <w:tc>
                <w:tcPr>
                  <w:tcW w:w="69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1#装配式预制构件生产线</w:t>
                  </w:r>
                </w:p>
              </w:tc>
              <w:tc>
                <w:tcPr>
                  <w:tcW w:w="2128"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原料-混凝土搅拌-模具制作-</w:t>
                  </w:r>
                  <w:r>
                    <w:rPr>
                      <w:rFonts w:hint="eastAsia"/>
                      <w:color w:val="000000" w:themeColor="text1"/>
                      <w:sz w:val="21"/>
                      <w:szCs w:val="21"/>
                      <w14:textFill>
                        <w14:solidFill>
                          <w14:schemeClr w14:val="tx1"/>
                        </w14:solidFill>
                      </w14:textFill>
                    </w:rPr>
                    <w:t>钢筋</w:t>
                  </w:r>
                  <w:r>
                    <w:rPr>
                      <w:color w:val="000000" w:themeColor="text1"/>
                      <w:sz w:val="21"/>
                      <w:szCs w:val="21"/>
                      <w14:textFill>
                        <w14:solidFill>
                          <w14:schemeClr w14:val="tx1"/>
                        </w14:solidFill>
                      </w14:textFill>
                    </w:rPr>
                    <w:t>切割、折弯、焊接-安装模具-混凝土浇注-振动-成型-蒸压养护-自动切割-成品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842" w:type="pct"/>
                  <w:vMerge w:val="continue"/>
                  <w:vAlign w:val="center"/>
                </w:tcPr>
                <w:p>
                  <w:pPr>
                    <w:contextualSpacing/>
                    <w:jc w:val="center"/>
                    <w:textAlignment w:val="baseline"/>
                    <w:rPr>
                      <w:color w:val="000000" w:themeColor="text1"/>
                      <w:szCs w:val="21"/>
                      <w14:textFill>
                        <w14:solidFill>
                          <w14:schemeClr w14:val="tx1"/>
                        </w14:solidFill>
                      </w14:textFill>
                    </w:rPr>
                  </w:pPr>
                </w:p>
              </w:tc>
              <w:tc>
                <w:tcPr>
                  <w:tcW w:w="1010" w:type="pct"/>
                  <w:vAlign w:val="center"/>
                </w:tcPr>
                <w:p>
                  <w:pPr>
                    <w:pStyle w:val="3"/>
                    <w:jc w:val="center"/>
                    <w:rPr>
                      <w:color w:val="000000" w:themeColor="text1"/>
                      <w:sz w:val="21"/>
                      <w:szCs w:val="21"/>
                      <w:vertAlign w:val="superscript"/>
                      <w14:textFill>
                        <w14:solidFill>
                          <w14:schemeClr w14:val="tx1"/>
                        </w14:solidFill>
                      </w14:textFill>
                    </w:rPr>
                  </w:pPr>
                  <w:r>
                    <w:rPr>
                      <w:color w:val="000000" w:themeColor="text1"/>
                      <w:sz w:val="21"/>
                      <w:szCs w:val="21"/>
                      <w14:textFill>
                        <w14:solidFill>
                          <w14:schemeClr w14:val="tx1"/>
                        </w14:solidFill>
                      </w14:textFill>
                    </w:rPr>
                    <w:t>8万m</w:t>
                  </w:r>
                  <w:r>
                    <w:rPr>
                      <w:color w:val="000000" w:themeColor="text1"/>
                      <w:sz w:val="21"/>
                      <w:szCs w:val="21"/>
                      <w:vertAlign w:val="superscript"/>
                      <w14:textFill>
                        <w14:solidFill>
                          <w14:schemeClr w14:val="tx1"/>
                        </w14:solidFill>
                      </w14:textFill>
                    </w:rPr>
                    <w:t>3</w:t>
                  </w:r>
                </w:p>
                <w:p>
                  <w:pPr>
                    <w:pStyle w:val="3"/>
                    <w:jc w:val="center"/>
                    <w:rPr>
                      <w:color w:val="000000" w:themeColor="text1"/>
                      <w:sz w:val="21"/>
                      <w:szCs w:val="21"/>
                      <w:vertAlign w:val="superscript"/>
                      <w14:textFill>
                        <w14:solidFill>
                          <w14:schemeClr w14:val="tx1"/>
                        </w14:solidFill>
                      </w14:textFill>
                    </w:rPr>
                  </w:pPr>
                  <w:r>
                    <w:rPr>
                      <w:color w:val="000000" w:themeColor="text1"/>
                      <w:sz w:val="21"/>
                      <w:szCs w:val="21"/>
                      <w14:textFill>
                        <w14:solidFill>
                          <w14:schemeClr w14:val="tx1"/>
                        </w14:solidFill>
                      </w14:textFill>
                    </w:rPr>
                    <w:t>（折合约19.26t/a）</w:t>
                  </w:r>
                </w:p>
              </w:tc>
              <w:tc>
                <w:tcPr>
                  <w:tcW w:w="69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2#装配式预制构件生产线</w:t>
                  </w:r>
                </w:p>
              </w:tc>
              <w:tc>
                <w:tcPr>
                  <w:tcW w:w="2128"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原料-混凝土搅拌-钢筋裁剪、焊接、安装-混凝土浇注-振动-成型-蒸压养护-自动切割-成品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42" w:type="pct"/>
                  <w:vAlign w:val="center"/>
                </w:tcPr>
                <w:p>
                  <w:pPr>
                    <w:contextualSpacing/>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泡沫沥青厂拌新型材料（运行温度＜40°）</w:t>
                  </w:r>
                </w:p>
              </w:tc>
              <w:tc>
                <w:tcPr>
                  <w:tcW w:w="1010" w:type="pct"/>
                  <w:vAlign w:val="center"/>
                </w:tcPr>
                <w:p>
                  <w:pPr>
                    <w:pStyle w:val="3"/>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20万吨</w:t>
                  </w:r>
                </w:p>
              </w:tc>
              <w:tc>
                <w:tcPr>
                  <w:tcW w:w="695"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冷拌沥青材料生产线</w:t>
                  </w:r>
                </w:p>
              </w:tc>
              <w:tc>
                <w:tcPr>
                  <w:tcW w:w="2128" w:type="pct"/>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原料-分级喷洒-搅拌-成品。</w:t>
                  </w:r>
                </w:p>
              </w:tc>
            </w:tr>
          </w:tbl>
          <w:p>
            <w:pPr>
              <w:pStyle w:val="3"/>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装配式预制构件：</w:t>
            </w:r>
          </w:p>
          <w:p>
            <w:pPr>
              <w:pStyle w:val="3"/>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2694940" cy="1820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695492" cy="1820979"/>
                          </a:xfrm>
                          <a:prstGeom prst="rect">
                            <a:avLst/>
                          </a:prstGeom>
                        </pic:spPr>
                      </pic:pic>
                    </a:graphicData>
                  </a:graphic>
                </wp:inline>
              </w:drawing>
            </w:r>
          </w:p>
          <w:p>
            <w:pPr>
              <w:pStyle w:val="3"/>
              <w:spacing w:line="520" w:lineRule="exact"/>
              <w:ind w:firstLine="480" w:firstLineChars="200"/>
              <w:jc w:val="both"/>
              <w:rPr>
                <w:color w:val="000000" w:themeColor="text1"/>
                <w:sz w:val="24"/>
                <w:szCs w:val="24"/>
                <w:shd w:val="clear" w:color="auto" w:fill="FFFFFF"/>
                <w14:textFill>
                  <w14:solidFill>
                    <w14:schemeClr w14:val="tx1"/>
                  </w14:solidFill>
                </w14:textFill>
              </w:rPr>
            </w:pPr>
            <w:r>
              <w:rPr>
                <w:color w:val="000000" w:themeColor="text1"/>
                <w:sz w:val="24"/>
                <w:szCs w:val="24"/>
                <w14:textFill>
                  <w14:solidFill>
                    <w14:schemeClr w14:val="tx1"/>
                  </w14:solidFill>
                </w14:textFill>
              </w:rPr>
              <w:t>泡沫沥青厂拌新型材料：</w:t>
            </w:r>
            <w:r>
              <w:rPr>
                <w:color w:val="000000" w:themeColor="text1"/>
                <w:sz w:val="24"/>
                <w:szCs w:val="24"/>
                <w:shd w:val="clear" w:color="auto" w:fill="FFFFFF"/>
                <w14:textFill>
                  <w14:solidFill>
                    <w14:schemeClr w14:val="tx1"/>
                  </w14:solidFill>
                </w14:textFill>
              </w:rPr>
              <w:t>将旧沥青路面经过铣刨、翻挖、回收后，加入一定比例的沥青、新集料、水泥和水，经拌和、摊铺和碾压等工艺，形成</w:t>
            </w:r>
            <w:r>
              <w:rPr>
                <w:color w:val="000000" w:themeColor="text1"/>
                <w:sz w:val="24"/>
                <w:szCs w:val="24"/>
                <w14:textFill>
                  <w14:solidFill>
                    <w14:schemeClr w14:val="tx1"/>
                  </w14:solidFill>
                </w14:textFill>
              </w:rPr>
              <w:t>泡沫沥青厂拌新型材料</w:t>
            </w:r>
            <w:r>
              <w:rPr>
                <w:color w:val="000000" w:themeColor="text1"/>
                <w:sz w:val="24"/>
                <w:szCs w:val="24"/>
                <w:shd w:val="clear" w:color="auto" w:fill="FFFFFF"/>
                <w14:textFill>
                  <w14:solidFill>
                    <w14:schemeClr w14:val="tx1"/>
                  </w14:solidFill>
                </w14:textFill>
              </w:rPr>
              <w:t>。用泡沫沥青生产的冷处理材料可以储存很长时间。也可以长时间存放在不利的天气条件下，如大雨等。</w:t>
            </w:r>
          </w:p>
          <w:p>
            <w:pPr>
              <w:pStyle w:val="3"/>
              <w:spacing w:line="520" w:lineRule="exact"/>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3、主要生产设施及设施参数</w:t>
            </w:r>
          </w:p>
          <w:p>
            <w:pPr>
              <w:pStyle w:val="71"/>
              <w:numPr>
                <w:ilvl w:val="0"/>
                <w:numId w:val="1"/>
              </w:numPr>
              <w:autoSpaceDE w:val="0"/>
              <w:autoSpaceDN w:val="0"/>
              <w:adjustRightInd w:val="0"/>
              <w:snapToGrid w:val="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本项目主要设备设施一览表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2461"/>
              <w:gridCol w:w="1745"/>
              <w:gridCol w:w="1135"/>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1499"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设备名称</w:t>
                  </w:r>
                </w:p>
              </w:tc>
              <w:tc>
                <w:tcPr>
                  <w:tcW w:w="106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型号/参数</w:t>
                  </w:r>
                </w:p>
              </w:tc>
              <w:tc>
                <w:tcPr>
                  <w:tcW w:w="691"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数量</w:t>
                  </w:r>
                </w:p>
              </w:tc>
              <w:tc>
                <w:tcPr>
                  <w:tcW w:w="1344" w:type="pct"/>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门式起重机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80T+80T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（车间外）预制构件装卸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门式起重机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50T+50T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（车间外）预制构件装卸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门式起重机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（车间外）预制构件装卸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桁车</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（车间内）预制构件装卸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砼拌合机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HZS120</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1用1备，物料搅拌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砼拌合机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HZS50</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1用1备，物料搅拌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7</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水泥储存罐</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5000吨</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3个</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11</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水泵</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输送新鲜水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钢筋焊接机器人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GH220A</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钢筋焊接（点焊）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16</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数控钢筋剪切生产线</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1套</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钢筋裁剪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17</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数控立式钢筋弯曲中心</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50型</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1套</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18</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数控钢筋弯箍机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钢筋弯箍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19</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数控钢筋笼缠绕机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GJL-3000</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悬辊式水泥制管机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XG600-1200</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21</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混凝土运输车</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3辆</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混凝土运输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2</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泡沫沥青厂拌设备</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WPCZ-600型</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1套</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3</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皮带输送机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3套</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用于物料输送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4</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提升机</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3套</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用于物料提升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5</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燃气锅炉</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5t/h</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提供蒸汽，用于预制构件蒸压养护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6</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全自动软水器</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对新鲜水软化，提供给燃气锅炉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03" w:type="pct"/>
                  <w:shd w:val="clear" w:color="auto" w:fill="auto"/>
                  <w:vAlign w:val="center"/>
                </w:tcPr>
                <w:p>
                  <w:pPr>
                    <w:pStyle w:val="3"/>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r>
                    <w:rPr>
                      <w:bCs/>
                      <w:color w:val="000000" w:themeColor="text1"/>
                      <w:sz w:val="21"/>
                      <w:szCs w:val="21"/>
                      <w14:textFill>
                        <w14:solidFill>
                          <w14:schemeClr w14:val="tx1"/>
                        </w14:solidFill>
                      </w14:textFill>
                    </w:rPr>
                    <w:t>7</w:t>
                  </w:r>
                </w:p>
              </w:tc>
              <w:tc>
                <w:tcPr>
                  <w:tcW w:w="1499" w:type="pct"/>
                  <w:shd w:val="clear" w:color="auto" w:fill="auto"/>
                  <w:vAlign w:val="center"/>
                </w:tcPr>
                <w:p>
                  <w:pPr>
                    <w:pStyle w:val="14"/>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蒸压釜</w:t>
                  </w:r>
                </w:p>
              </w:tc>
              <w:tc>
                <w:tcPr>
                  <w:tcW w:w="106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91"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2台</w:t>
                  </w:r>
                </w:p>
              </w:tc>
              <w:tc>
                <w:tcPr>
                  <w:tcW w:w="134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对预制构件进行蒸压养护</w:t>
                  </w:r>
                </w:p>
              </w:tc>
            </w:tr>
          </w:tbl>
          <w:p>
            <w:pPr>
              <w:pStyle w:val="3"/>
              <w:spacing w:line="520" w:lineRule="exact"/>
              <w:ind w:firstLine="482" w:firstLineChars="200"/>
              <w:rPr>
                <w:b/>
                <w:color w:val="000000" w:themeColor="text1"/>
                <w:kern w:val="0"/>
                <w:sz w:val="24"/>
                <w:szCs w:val="24"/>
                <w14:textFill>
                  <w14:solidFill>
                    <w14:schemeClr w14:val="tx1"/>
                  </w14:solidFill>
                </w14:textFill>
              </w:rPr>
            </w:pPr>
            <w:r>
              <w:rPr>
                <w:b/>
                <w:color w:val="000000" w:themeColor="text1"/>
                <w:sz w:val="24"/>
                <w:szCs w:val="24"/>
                <w14:textFill>
                  <w14:solidFill>
                    <w14:schemeClr w14:val="tx1"/>
                  </w14:solidFill>
                </w14:textFill>
              </w:rPr>
              <w:t xml:space="preserve">4、原辅材料 </w:t>
            </w:r>
          </w:p>
          <w:p>
            <w:pPr>
              <w:pStyle w:val="71"/>
              <w:numPr>
                <w:ilvl w:val="0"/>
                <w:numId w:val="1"/>
              </w:numPr>
              <w:autoSpaceDE w:val="0"/>
              <w:autoSpaceDN w:val="0"/>
              <w:adjustRightInd w:val="0"/>
              <w:snapToGrid w:val="0"/>
              <w:ind w:firstLineChars="0"/>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 xml:space="preserve">   本项目</w:t>
            </w:r>
            <w:r>
              <w:rPr>
                <w:b/>
                <w:color w:val="000000" w:themeColor="text1"/>
                <w:szCs w:val="21"/>
                <w14:textFill>
                  <w14:solidFill>
                    <w14:schemeClr w14:val="tx1"/>
                  </w14:solidFill>
                </w14:textFill>
              </w:rPr>
              <w:t>原辅材料用量及资（能）消耗一览表</w:t>
            </w:r>
          </w:p>
          <w:tbl>
            <w:tblPr>
              <w:tblStyle w:val="18"/>
              <w:tblW w:w="5000" w:type="pct"/>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878"/>
              <w:gridCol w:w="1877"/>
              <w:gridCol w:w="1667"/>
              <w:gridCol w:w="2215"/>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87" w:type="pct"/>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01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w:t>
                  </w:r>
                  <w:r>
                    <w:rPr>
                      <w:color w:val="000000" w:themeColor="text1"/>
                      <w:szCs w:val="21"/>
                      <w14:textFill>
                        <w14:solidFill>
                          <w14:schemeClr w14:val="tx1"/>
                        </w14:solidFill>
                      </w14:textFill>
                    </w:rPr>
                    <w:t>用量</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44"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预制构件生产线</w:t>
                  </w: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机制砂</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187000吨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石子</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细扎丝</w:t>
                  </w:r>
                  <w:r>
                    <w:rPr>
                      <w:rFonts w:hint="eastAsia"/>
                      <w:color w:val="000000" w:themeColor="text1"/>
                      <w14:textFill>
                        <w14:solidFill>
                          <w14:schemeClr w14:val="tx1"/>
                        </w14:solidFill>
                      </w14:textFill>
                    </w:rPr>
                    <w:t>（</w:t>
                  </w:r>
                  <w:r>
                    <w:rPr>
                      <w:rFonts w:ascii="Arial" w:hAnsi="Arial" w:cs="Arial"/>
                      <w:color w:val="000000" w:themeColor="text1"/>
                      <w:sz w:val="20"/>
                      <w:shd w:val="clear" w:color="auto" w:fill="FFFFFF"/>
                      <w14:textFill>
                        <w14:solidFill>
                          <w14:schemeClr w14:val="tx1"/>
                        </w14:solidFill>
                      </w14:textFill>
                    </w:rPr>
                    <w:t>镀锌铁丝</w:t>
                  </w:r>
                  <w:r>
                    <w:rPr>
                      <w:rFonts w:hint="eastAsia"/>
                      <w:color w:val="000000" w:themeColor="text1"/>
                      <w14:textFill>
                        <w14:solidFill>
                          <w14:schemeClr w14:val="tx1"/>
                        </w14:solidFill>
                      </w14:textFill>
                    </w:rPr>
                    <w:t>）</w:t>
                  </w:r>
                </w:p>
              </w:tc>
              <w:tc>
                <w:tcPr>
                  <w:tcW w:w="101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减水剂</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脱模剂</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液体，外购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144"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泡沫沥青材料生产线（冷拌沥青材料生产线）</w:t>
                  </w: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罐车运输，</w:t>
                  </w:r>
                  <w:r>
                    <w:rPr>
                      <w:color w:val="000000" w:themeColor="text1"/>
                      <w:szCs w:val="21"/>
                      <w14:textFill>
                        <w14:solidFill>
                          <w14:schemeClr w14:val="tx1"/>
                        </w14:solidFill>
                      </w14:textFill>
                    </w:rPr>
                    <w:t>冷料、液体、外购成品泡沫沥青</w:t>
                  </w:r>
                  <w:r>
                    <w:rPr>
                      <w:rFonts w:hint="eastAsia"/>
                      <w:color w:val="000000" w:themeColor="text1"/>
                      <w:szCs w:val="21"/>
                      <w14:textFill>
                        <w14:solidFill>
                          <w14:schemeClr w14:val="tx1"/>
                        </w14:solidFill>
                      </w14:textFill>
                    </w:rPr>
                    <w:t>直接在车间内拌合，厂内不设置沥青储罐</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水泥</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粉状、外购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再生混合料</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块状</w:t>
                  </w:r>
                  <w:r>
                    <w:rPr>
                      <w:color w:val="000000" w:themeColor="text1"/>
                      <w:szCs w:val="21"/>
                      <w14:textFill>
                        <w14:solidFill>
                          <w14:schemeClr w14:val="tx1"/>
                        </w14:solidFill>
                      </w14:textFill>
                    </w:rPr>
                    <w:t>、</w:t>
                  </w:r>
                  <w:r>
                    <w:rPr>
                      <w:color w:val="000000" w:themeColor="text1"/>
                      <w:szCs w:val="21"/>
                      <w:shd w:val="clear" w:color="auto" w:fill="FFFFFF"/>
                      <w14:textFill>
                        <w14:solidFill>
                          <w14:schemeClr w14:val="tx1"/>
                        </w14:solidFill>
                      </w14:textFill>
                    </w:rPr>
                    <w:t>旧沥青路面回收</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p>
              </w:tc>
              <w:tc>
                <w:tcPr>
                  <w:tcW w:w="1144"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14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石子</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100000吨</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颗粒状、外购</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2287" w:type="pct"/>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28656m³/a</w:t>
                  </w:r>
                </w:p>
              </w:tc>
              <w:tc>
                <w:tcPr>
                  <w:tcW w:w="1349" w:type="pct"/>
                  <w:vAlign w:val="center"/>
                </w:tcPr>
                <w:p>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厂内自备井提供</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2287" w:type="pct"/>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1015" w:type="pct"/>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250万kw·h</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由当地供电系统供给</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9"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2287" w:type="pct"/>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w:t>
                  </w:r>
                </w:p>
              </w:tc>
              <w:tc>
                <w:tcPr>
                  <w:tcW w:w="101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84万m</w:t>
                  </w:r>
                  <w:r>
                    <w:rPr>
                      <w:color w:val="000000" w:themeColor="text1"/>
                      <w:szCs w:val="21"/>
                      <w:vertAlign w:val="superscript"/>
                      <w14:textFill>
                        <w14:solidFill>
                          <w14:schemeClr w14:val="tx1"/>
                        </w14:solidFill>
                      </w14:textFill>
                    </w:rPr>
                    <w:t>3</w:t>
                  </w:r>
                </w:p>
              </w:tc>
              <w:tc>
                <w:tcPr>
                  <w:tcW w:w="13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外购天然气</w:t>
                  </w:r>
                  <w:r>
                    <w:rPr>
                      <w:rFonts w:hint="eastAsia"/>
                      <w:color w:val="000000" w:themeColor="text1"/>
                      <w:szCs w:val="21"/>
                      <w14:textFill>
                        <w14:solidFill>
                          <w14:schemeClr w14:val="tx1"/>
                        </w14:solidFill>
                      </w14:textFill>
                    </w:rPr>
                    <w:t>，最大储存量0</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bl>
          <w:p>
            <w:pPr>
              <w:adjustRightInd w:val="0"/>
              <w:snapToGrid w:val="0"/>
              <w:spacing w:line="520" w:lineRule="exact"/>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标准煤折算情况：</w:t>
            </w:r>
            <w:r>
              <w:rPr>
                <w:bCs/>
                <w:color w:val="000000" w:themeColor="text1"/>
                <w:sz w:val="24"/>
                <w14:textFill>
                  <w14:solidFill>
                    <w14:schemeClr w14:val="tx1"/>
                  </w14:solidFill>
                </w14:textFill>
              </w:rPr>
              <w:t>年用电量折算成标准煤系数为4.4040吨标煤/万千瓦时，约为1101t/a，年用天然气折算成标准煤系数为1.2143吨标煤/千立方米，约为1020.012t/a，合计折算标准煤2121.012t/a。</w:t>
            </w:r>
          </w:p>
          <w:p>
            <w:pPr>
              <w:adjustRightInd w:val="0"/>
              <w:snapToGrid w:val="0"/>
              <w:spacing w:line="520" w:lineRule="exact"/>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减水剂</w:t>
            </w:r>
            <w:r>
              <w:rPr>
                <w:bCs/>
                <w:color w:val="000000" w:themeColor="text1"/>
                <w:sz w:val="24"/>
                <w14:textFill>
                  <w14:solidFill>
                    <w14:schemeClr w14:val="tx1"/>
                  </w14:solidFill>
                </w14:textFill>
              </w:rPr>
              <w:t>：本项目使用的减水剂</w:t>
            </w:r>
            <w:r>
              <w:rPr>
                <w:color w:val="000000" w:themeColor="text1"/>
                <w:sz w:val="24"/>
                <w:shd w:val="clear" w:color="auto" w:fill="FFFFFF"/>
                <w14:textFill>
                  <w14:solidFill>
                    <w14:schemeClr w14:val="tx1"/>
                  </w14:solidFill>
                </w14:textFill>
              </w:rPr>
              <w:t>外观形态为粉剂，</w:t>
            </w:r>
            <w:r>
              <w:rPr>
                <w:bCs/>
                <w:color w:val="000000" w:themeColor="text1"/>
                <w:sz w:val="24"/>
                <w14:textFill>
                  <w14:solidFill>
                    <w14:schemeClr w14:val="tx1"/>
                  </w14:solidFill>
                </w14:textFill>
              </w:rPr>
              <w:t>是一种能减少拌合用水量的混凝土外加剂。大多属于阴离子表面活性剂，有木质素磺酸盐、萘磺酸盐甲醛聚合物等。</w:t>
            </w:r>
          </w:p>
          <w:p>
            <w:pPr>
              <w:adjustRightInd w:val="0"/>
              <w:snapToGrid w:val="0"/>
              <w:spacing w:line="520" w:lineRule="exact"/>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脱模剂：</w:t>
            </w:r>
            <w:r>
              <w:rPr>
                <w:bCs/>
                <w:color w:val="000000" w:themeColor="text1"/>
                <w:sz w:val="24"/>
                <w14:textFill>
                  <w14:solidFill>
                    <w14:schemeClr w14:val="tx1"/>
                  </w14:solidFill>
                </w14:textFill>
              </w:rPr>
              <w:t>本项目使用的脱模剂外观形态为液体，是一种由植物油基制造的预制构件专用脱模剂，具有可再生，可生物降解的优点。</w:t>
            </w:r>
          </w:p>
          <w:p>
            <w:pPr>
              <w:adjustRightInd w:val="0"/>
              <w:snapToGrid w:val="0"/>
              <w:spacing w:line="520" w:lineRule="exact"/>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泡沫沥青：</w:t>
            </w:r>
            <w:r>
              <w:rPr>
                <w:bCs/>
                <w:color w:val="000000" w:themeColor="text1"/>
                <w:sz w:val="24"/>
                <w14:textFill>
                  <w14:solidFill>
                    <w14:schemeClr w14:val="tx1"/>
                  </w14:solidFill>
                </w14:textFill>
              </w:rPr>
              <w:t>本项目外购的泡沫沥青常温下为液体，泡沫沥青是在高温沥青中加水滴形成蒸汽泡、产生连锁反应、显著提高胶合性能的新材料，泡沫沥青粘聚性强且稳定，混合料可以长时间常温储存。</w:t>
            </w:r>
          </w:p>
          <w:p>
            <w:pPr>
              <w:adjustRightInd w:val="0"/>
              <w:snapToGrid w:val="0"/>
              <w:spacing w:line="520" w:lineRule="exact"/>
              <w:ind w:firstLine="482" w:firstLineChars="200"/>
              <w:rPr>
                <w:color w:val="000000" w:themeColor="text1"/>
                <w:sz w:val="24"/>
                <w:shd w:val="clear" w:color="auto" w:fill="FFFFFF"/>
                <w14:textFill>
                  <w14:solidFill>
                    <w14:schemeClr w14:val="tx1"/>
                  </w14:solidFill>
                </w14:textFill>
              </w:rPr>
            </w:pPr>
            <w:r>
              <w:rPr>
                <w:b/>
                <w:bCs/>
                <w:color w:val="000000" w:themeColor="text1"/>
                <w:sz w:val="24"/>
                <w14:textFill>
                  <w14:solidFill>
                    <w14:schemeClr w14:val="tx1"/>
                  </w14:solidFill>
                </w14:textFill>
              </w:rPr>
              <w:t>再生混合料：</w:t>
            </w:r>
            <w:r>
              <w:rPr>
                <w:bCs/>
                <w:color w:val="000000" w:themeColor="text1"/>
                <w:sz w:val="24"/>
                <w14:textFill>
                  <w14:solidFill>
                    <w14:schemeClr w14:val="tx1"/>
                  </w14:solidFill>
                </w14:textFill>
              </w:rPr>
              <w:t>本项目使用的</w:t>
            </w:r>
            <w:r>
              <w:rPr>
                <w:color w:val="000000" w:themeColor="text1"/>
                <w:sz w:val="24"/>
                <w14:textFill>
                  <w14:solidFill>
                    <w14:schemeClr w14:val="tx1"/>
                  </w14:solidFill>
                </w14:textFill>
              </w:rPr>
              <w:t>再生混合料为</w:t>
            </w:r>
            <w:r>
              <w:rPr>
                <w:color w:val="000000" w:themeColor="text1"/>
                <w:sz w:val="24"/>
                <w:shd w:val="clear" w:color="auto" w:fill="FFFFFF"/>
                <w14:textFill>
                  <w14:solidFill>
                    <w14:schemeClr w14:val="tx1"/>
                  </w14:solidFill>
                </w14:textFill>
              </w:rPr>
              <w:t>旧沥青路面经过铣刨、翻挖、回收的材料。</w:t>
            </w:r>
          </w:p>
          <w:p>
            <w:pPr>
              <w:adjustRightInd w:val="0"/>
              <w:snapToGrid w:val="0"/>
              <w:spacing w:line="520" w:lineRule="exact"/>
              <w:rPr>
                <w:b/>
                <w:color w:val="000000" w:themeColor="text1"/>
                <w:sz w:val="24"/>
                <w14:textFill>
                  <w14:solidFill>
                    <w14:schemeClr w14:val="tx1"/>
                  </w14:solidFill>
                </w14:textFill>
              </w:rPr>
            </w:pPr>
            <w:r>
              <w:rPr>
                <w:b/>
                <w:color w:val="000000" w:themeColor="text1"/>
                <w:sz w:val="24"/>
                <w14:textFill>
                  <w14:solidFill>
                    <w14:schemeClr w14:val="tx1"/>
                  </w14:solidFill>
                </w14:textFill>
              </w:rPr>
              <w:t>5、物料平衡及水平衡</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1）物料平衡</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本项目物料平衡如下所示。</w:t>
            </w:r>
          </w:p>
          <w:p>
            <w:pPr>
              <w:widowControl w:val="0"/>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表10   项目物料平衡一览表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425"/>
              <w:gridCol w:w="855"/>
              <w:gridCol w:w="2525"/>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7" w:type="pct"/>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总投入</w:t>
                  </w:r>
                </w:p>
              </w:tc>
              <w:tc>
                <w:tcPr>
                  <w:tcW w:w="521" w:type="pct"/>
                  <w:vMerge w:val="restar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投入与产出对比情况</w:t>
                  </w:r>
                </w:p>
              </w:tc>
              <w:tc>
                <w:tcPr>
                  <w:tcW w:w="2812" w:type="pct"/>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项目原料</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用量t/a</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项目出料</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水泥</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64000</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装配式预制构件</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385156.708</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（折合约16万立方米）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石子</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220000</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泡沫沥青材料</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机制砂</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187000</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排放粉尘</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1.2248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钢筋</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19000</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沉淀池沉渣</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12.0672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细扎丝</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r>
                    <w:rPr>
                      <w:bCs/>
                      <w:color w:val="000000" w:themeColor="text1"/>
                      <w:szCs w:val="21"/>
                      <w14:textFill>
                        <w14:solidFill>
                          <w14:schemeClr w14:val="tx1"/>
                        </w14:solidFill>
                      </w14:textFill>
                    </w:rPr>
                    <w:t>00</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水分蒸发等损耗量</w:t>
                  </w:r>
                </w:p>
              </w:tc>
              <w:tc>
                <w:tcPr>
                  <w:tcW w:w="1274"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减水剂</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1400</w:t>
                  </w:r>
                </w:p>
              </w:tc>
              <w:tc>
                <w:tcPr>
                  <w:tcW w:w="521" w:type="pct"/>
                  <w:vMerge w:val="continue"/>
                  <w:shd w:val="clear" w:color="auto" w:fill="auto"/>
                  <w:vAlign w:val="center"/>
                </w:tcPr>
                <w:p>
                  <w:pPr>
                    <w:jc w:val="center"/>
                    <w:rPr>
                      <w:color w:val="000000" w:themeColor="text1"/>
                      <w:szCs w:val="21"/>
                      <w14:textFill>
                        <w14:solidFill>
                          <w14:schemeClr w14:val="tx1"/>
                        </w14:solidFill>
                      </w14:textFill>
                    </w:rPr>
                  </w:pPr>
                </w:p>
              </w:tc>
              <w:tc>
                <w:tcPr>
                  <w:tcW w:w="1538" w:type="pct"/>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钢筋裁剪下脚料</w:t>
                  </w:r>
                </w:p>
              </w:tc>
              <w:tc>
                <w:tcPr>
                  <w:tcW w:w="1274"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泡沫沥青</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10000</w:t>
                  </w:r>
                </w:p>
              </w:tc>
              <w:tc>
                <w:tcPr>
                  <w:tcW w:w="521" w:type="pct"/>
                  <w:vMerge w:val="continue"/>
                  <w:shd w:val="clear" w:color="auto" w:fill="auto"/>
                  <w:vAlign w:val="center"/>
                </w:tcPr>
                <w:p>
                  <w:pPr>
                    <w:jc w:val="center"/>
                    <w:rPr>
                      <w:color w:val="000000" w:themeColor="text1"/>
                      <w:szCs w:val="21"/>
                      <w14:textFill>
                        <w14:solidFill>
                          <w14:schemeClr w14:val="tx1"/>
                        </w14:solidFill>
                      </w14:textFill>
                    </w:rPr>
                  </w:pPr>
                </w:p>
              </w:tc>
              <w:tc>
                <w:tcPr>
                  <w:tcW w:w="1538" w:type="pc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74" w:type="pc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再生混合料</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80000</w:t>
                  </w:r>
                </w:p>
              </w:tc>
              <w:tc>
                <w:tcPr>
                  <w:tcW w:w="521" w:type="pct"/>
                  <w:vMerge w:val="continue"/>
                  <w:shd w:val="clear" w:color="auto" w:fill="auto"/>
                  <w:vAlign w:val="center"/>
                </w:tcPr>
                <w:p>
                  <w:pPr>
                    <w:jc w:val="center"/>
                    <w:rPr>
                      <w:color w:val="000000" w:themeColor="text1"/>
                      <w:szCs w:val="21"/>
                      <w14:textFill>
                        <w14:solidFill>
                          <w14:schemeClr w14:val="tx1"/>
                        </w14:solidFill>
                      </w14:textFill>
                    </w:rPr>
                  </w:pPr>
                </w:p>
              </w:tc>
              <w:tc>
                <w:tcPr>
                  <w:tcW w:w="1538" w:type="pc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74" w:type="pc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搅拌用水</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23043</w:t>
                  </w:r>
                </w:p>
              </w:tc>
              <w:tc>
                <w:tcPr>
                  <w:tcW w:w="521" w:type="pct"/>
                  <w:vMerge w:val="continue"/>
                  <w:shd w:val="clear" w:color="auto" w:fill="auto"/>
                  <w:vAlign w:val="center"/>
                </w:tcPr>
                <w:p>
                  <w:pPr>
                    <w:jc w:val="center"/>
                    <w:rPr>
                      <w:color w:val="000000" w:themeColor="text1"/>
                      <w:szCs w:val="21"/>
                      <w14:textFill>
                        <w14:solidFill>
                          <w14:schemeClr w14:val="tx1"/>
                        </w14:solidFill>
                      </w14:textFill>
                    </w:rPr>
                  </w:pPr>
                </w:p>
              </w:tc>
              <w:tc>
                <w:tcPr>
                  <w:tcW w:w="1538"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74"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合计</w:t>
                  </w:r>
                </w:p>
              </w:tc>
              <w:tc>
                <w:tcPr>
                  <w:tcW w:w="86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608443</w:t>
                  </w:r>
                </w:p>
              </w:tc>
              <w:tc>
                <w:tcPr>
                  <w:tcW w:w="521" w:type="pct"/>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538"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274" w:type="pc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608443</w:t>
                  </w:r>
                </w:p>
              </w:tc>
            </w:tr>
          </w:tbl>
          <w:p>
            <w:pPr>
              <w:widowControl w:val="0"/>
              <w:adjustRightInd w:val="0"/>
              <w:snapToGrid w:val="0"/>
              <w:jc w:val="center"/>
              <w:rPr>
                <w:b/>
                <w:color w:val="000000" w:themeColor="text1"/>
                <w:szCs w:val="21"/>
                <w14:textFill>
                  <w14:solidFill>
                    <w14:schemeClr w14:val="tx1"/>
                  </w14:solidFill>
                </w14:textFill>
              </w:rPr>
            </w:pP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2）水平衡</w:t>
            </w:r>
          </w:p>
          <w:p>
            <w:pPr>
              <w:autoSpaceDE w:val="0"/>
              <w:autoSpaceDN w:val="0"/>
              <w:spacing w:line="52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项目用水主要包括车辆冲洗用水、搅拌用水、</w:t>
            </w:r>
            <w:r>
              <w:rPr>
                <w:rFonts w:hint="eastAsia"/>
                <w:bCs/>
                <w:color w:val="000000" w:themeColor="text1"/>
                <w:sz w:val="24"/>
                <w14:textFill>
                  <w14:solidFill>
                    <w14:schemeClr w14:val="tx1"/>
                  </w14:solidFill>
                </w14:textFill>
              </w:rPr>
              <w:t>锅炉用水、</w:t>
            </w:r>
            <w:r>
              <w:rPr>
                <w:bCs/>
                <w:color w:val="000000" w:themeColor="text1"/>
                <w:sz w:val="24"/>
                <w14:textFill>
                  <w14:solidFill>
                    <w14:schemeClr w14:val="tx1"/>
                  </w14:solidFill>
                </w14:textFill>
              </w:rPr>
              <w:t>蒸压养护用水、搅拌机清洗用水、</w:t>
            </w:r>
            <w:r>
              <w:rPr>
                <w:color w:val="000000" w:themeColor="text1"/>
                <w:sz w:val="24"/>
                <w14:textFill>
                  <w14:solidFill>
                    <w14:schemeClr w14:val="tx1"/>
                  </w14:solidFill>
                </w14:textFill>
              </w:rPr>
              <w:t>厂区喷淋用水、厂房及仓库顶部喷雾用水</w:t>
            </w:r>
            <w:r>
              <w:rPr>
                <w:bCs/>
                <w:color w:val="000000" w:themeColor="text1"/>
                <w:sz w:val="24"/>
                <w14:textFill>
                  <w14:solidFill>
                    <w14:schemeClr w14:val="tx1"/>
                  </w14:solidFill>
                </w14:textFill>
              </w:rPr>
              <w:t>、以及生活用水。</w:t>
            </w:r>
          </w:p>
          <w:p>
            <w:pPr>
              <w:autoSpaceDE w:val="0"/>
              <w:autoSpaceDN w:val="0"/>
              <w:spacing w:line="52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1)、车辆冲洗用水</w:t>
            </w:r>
          </w:p>
          <w:p>
            <w:pPr>
              <w:adjustRightInd w:val="0"/>
              <w:snapToGrid w:val="0"/>
              <w:spacing w:line="52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在厂区及料库进出口各设置1个车辆冲洗台，车辆经冲洗后（主要为车底盘和车轮冲洗）方可出入厂区。根据物料平衡可知，项目需要车辆运输的物料重约585400t/a，车辆载货量为30t，载货车辆每天进出次数约为66次，空车出厂同样为66次，每次冲洗水量按0.1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计，年冲洗水量约为4488m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，废水系数按照0.8计，则车辆冲洗废水量为3590.4m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/a，蒸发损耗量为897.6m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/a，年补充新鲜水量为897.6m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/a。车辆及设备冲洗废水经沉淀池（15m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）沉淀处理后，循环使用，不外排。</w:t>
            </w:r>
          </w:p>
          <w:p>
            <w:pPr>
              <w:adjustRightInd w:val="0"/>
              <w:snapToGrid w:val="0"/>
              <w:spacing w:line="52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bCs/>
                <w:color w:val="000000" w:themeColor="text1"/>
                <w:sz w:val="24"/>
                <w14:textFill>
                  <w14:solidFill>
                    <w14:schemeClr w14:val="tx1"/>
                  </w14:solidFill>
                </w14:textFill>
              </w:rPr>
              <w:t>、预制构件搅拌用水</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项目物料混合搅拌过程需加入定量自来水，根据企业提供原料配比，搅拌加水量约占搅拌物料的6%，项目预制构件生产线搅拌物料（</w:t>
            </w:r>
            <w:r>
              <w:rPr>
                <w:rFonts w:hint="eastAsia"/>
                <w:bCs/>
                <w:color w:val="000000" w:themeColor="text1"/>
                <w:sz w:val="24"/>
                <w14:textFill>
                  <w14:solidFill>
                    <w14:schemeClr w14:val="tx1"/>
                  </w14:solidFill>
                </w14:textFill>
              </w:rPr>
              <w:t>机制砂+</w:t>
            </w:r>
            <w:r>
              <w:rPr>
                <w:bCs/>
                <w:color w:val="000000" w:themeColor="text1"/>
                <w:sz w:val="24"/>
                <w14:textFill>
                  <w14:solidFill>
                    <w14:schemeClr w14:val="tx1"/>
                  </w14:solidFill>
                </w14:textFill>
              </w:rPr>
              <w:t>水泥+石子）量为361000t/a，则配比用水量约为23043m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/a（折合约为76.81m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其中约2</w:t>
            </w:r>
            <w:r>
              <w:rPr>
                <w:bCs/>
                <w:color w:val="000000" w:themeColor="text1"/>
                <w:sz w:val="24"/>
                <w14:textFill>
                  <w14:solidFill>
                    <w14:schemeClr w14:val="tx1"/>
                  </w14:solidFill>
                </w14:textFill>
              </w:rPr>
              <w:t>9.21t/d</w:t>
            </w:r>
            <w:r>
              <w:rPr>
                <w:rFonts w:hint="eastAsia"/>
                <w:bCs/>
                <w:color w:val="000000" w:themeColor="text1"/>
                <w:sz w:val="24"/>
                <w14:textFill>
                  <w14:solidFill>
                    <w14:schemeClr w14:val="tx1"/>
                  </w14:solidFill>
                </w14:textFill>
              </w:rPr>
              <w:t>来自新鲜水，11.12t/d来自软化处理废水，4.48t/d来自燃气锅炉排污水，</w:t>
            </w:r>
            <w:r>
              <w:rPr>
                <w:bCs/>
                <w:color w:val="000000" w:themeColor="text1"/>
                <w:sz w:val="24"/>
                <w14:textFill>
                  <w14:solidFill>
                    <w14:schemeClr w14:val="tx1"/>
                  </w14:solidFill>
                </w14:textFill>
              </w:rPr>
              <w:t>32</w:t>
            </w:r>
            <w:r>
              <w:rPr>
                <w:rFonts w:hint="eastAsia"/>
                <w:bCs/>
                <w:color w:val="000000" w:themeColor="text1"/>
                <w:sz w:val="24"/>
                <w14:textFill>
                  <w14:solidFill>
                    <w14:schemeClr w14:val="tx1"/>
                  </w14:solidFill>
                </w14:textFill>
              </w:rPr>
              <w:t>t/</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来自蒸压养护冷凝水。</w:t>
            </w:r>
            <w:r>
              <w:rPr>
                <w:bCs/>
                <w:color w:val="000000" w:themeColor="text1"/>
                <w:sz w:val="24"/>
                <w14:textFill>
                  <w14:solidFill>
                    <w14:schemeClr w14:val="tx1"/>
                  </w14:solidFill>
                </w14:textFill>
              </w:rPr>
              <w:t>该部分水均进入产品，并在后续养护过程自然耗散。</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bCs/>
                <w:color w:val="000000" w:themeColor="text1"/>
                <w:sz w:val="24"/>
                <w14:textFill>
                  <w14:solidFill>
                    <w14:schemeClr w14:val="tx1"/>
                  </w14:solidFill>
                </w14:textFill>
              </w:rPr>
              <w:t>燃气锅炉、软化处理用水</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天然气锅炉运行过程中炉水一直处于循环使用的状态，炉水中的杂质、化合物会逐渐沉积，需要等通过一定的方式定期排出锅炉之外，保证炉水水质良好。根据《锅炉房设计规范》（GB50041-2008）可知，采用锅外化学水处理且蒸汽压力小于或等于2.5MPa时，锅炉排污率不宜大于10%。本项目采用树脂罐离子交换的方式进行锅外化学水处理，且锅炉内蒸汽压力为1.6MPa，本次评价锅炉排污率按照10%计。根据燃气锅炉工段的用水设计参数，厂内全自动软水处理器处理效率约为80%，项目使用新鲜水为55.6t/d，软化处理废水约为11.12t/d，燃气锅炉用水为44.48t/d，锅炉排污水排放总量为4.48t/d，该部分废水</w:t>
            </w:r>
            <w:r>
              <w:rPr>
                <w:rFonts w:hint="eastAsia"/>
                <w:color w:val="000000" w:themeColor="text1"/>
                <w:sz w:val="24"/>
                <w14:textFill>
                  <w14:solidFill>
                    <w14:schemeClr w14:val="tx1"/>
                  </w14:solidFill>
                </w14:textFill>
              </w:rPr>
              <w:t>进入搅拌添加水中，自然蒸发。</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(4)、蒸压养护用水</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混凝土预制构件产量为16万立方米/年，平均每立方米的混凝土预制构件蒸压养护消耗的蒸汽量为75kg，则蒸汽量消耗为12000t/a，蒸发损耗量约为20%，则蒸压养护冷凝水产生量为9600t/a，该部分用水经收集池收集后，用于产品搅拌用水使用。</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(5)、搅拌机清洗用水</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项目搅拌机在每天生产结束或设备检修时必须冲洗干净。根据施工配料用水参考定额，搅拌机清洗用水为600L/台·班，项目共使用3台搅拌机，则搅拌机清洗用水量为1.8m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/d（540m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/a），产污系数按照0.8计，则废水产生量约为1.44m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，蒸发损耗量为</w:t>
            </w:r>
            <w:r>
              <w:rPr>
                <w:bCs/>
                <w:color w:val="000000" w:themeColor="text1"/>
                <w:sz w:val="24"/>
                <w14:textFill>
                  <w14:solidFill>
                    <w14:schemeClr w14:val="tx1"/>
                  </w14:solidFill>
                </w14:textFill>
              </w:rPr>
              <w:t>0.32</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d。搅拌机冲洗废水经沉淀池（5m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）进行沉淀处理后循环使用，定期补充新鲜水即可。</w:t>
            </w:r>
          </w:p>
          <w:p>
            <w:pPr>
              <w:widowControl w:val="0"/>
              <w:adjustRightInd w:val="0"/>
              <w:snapToGrid w:val="0"/>
              <w:spacing w:line="520" w:lineRule="exact"/>
              <w:ind w:firstLine="480" w:firstLineChars="200"/>
              <w:jc w:val="both"/>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w:t>
            </w:r>
            <w:r>
              <w:rPr>
                <w:color w:val="000000" w:themeColor="text1"/>
                <w:sz w:val="24"/>
                <w14:textFill>
                  <w14:solidFill>
                    <w14:schemeClr w14:val="tx1"/>
                  </w14:solidFill>
                </w14:textFill>
              </w:rPr>
              <w:t>厂区喷淋用水、厂房及仓库顶部喷雾用水</w:t>
            </w:r>
          </w:p>
          <w:p>
            <w:pPr>
              <w:adjustRightInd w:val="0"/>
              <w:snapToGrid w:val="0"/>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河南省生态环境保护委员会办公室关于印发河南省2022年大气、水、土壤污染防治攻坚战及农业农村污染治理攻坚战实施方案的通知》（豫环委办[2022]9号）文件中的要求，需对厂区进行喷淋降尘，并在车间顶部设置高压喷雾装置。</w:t>
            </w:r>
          </w:p>
          <w:p>
            <w:pPr>
              <w:adjustRightInd w:val="0"/>
              <w:snapToGrid w:val="0"/>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根据《工业与城镇用水定额》（DB41/T385-2020），道路和场地喷洒用水量通用值为2L/（m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·d）计算，项目需洒水保湿地面共计约1423.33m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，经计算该部分用水量为2.85m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/d（855m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/a）。该部分水全部蒸发耗散。</w:t>
            </w:r>
          </w:p>
          <w:p>
            <w:pPr>
              <w:adjustRightInd w:val="0"/>
              <w:snapToGrid w:val="0"/>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喷干雾装置喷头共计10个，主要在日常生产时间歇式开启，平均喷干雾时间按照4h/d计，则该过程用水量为2.4m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/d（720m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/a），该部分水全部蒸发耗散。</w:t>
            </w:r>
          </w:p>
          <w:p>
            <w:pPr>
              <w:widowControl w:val="0"/>
              <w:adjustRightInd w:val="0"/>
              <w:snapToGrid w:val="0"/>
              <w:spacing w:line="520" w:lineRule="exact"/>
              <w:ind w:firstLine="480" w:firstLineChars="200"/>
              <w:jc w:val="both"/>
              <w:rPr>
                <w:color w:val="000000" w:themeColor="text1"/>
                <w:sz w:val="24"/>
                <w:highlight w:val="yellow"/>
                <w14:textFill>
                  <w14:solidFill>
                    <w14:schemeClr w14:val="tx1"/>
                  </w14:solidFill>
                </w14:textFill>
              </w:rPr>
            </w:pPr>
            <w:r>
              <w:rPr>
                <w:bCs/>
                <w:color w:val="000000" w:themeColor="text1"/>
                <w:sz w:val="24"/>
                <w14:textFill>
                  <w14:solidFill>
                    <w14:schemeClr w14:val="tx1"/>
                  </w14:solidFill>
                </w14:textFill>
              </w:rPr>
              <w:t>(7)、</w:t>
            </w:r>
            <w:r>
              <w:rPr>
                <w:color w:val="000000" w:themeColor="text1"/>
                <w:sz w:val="24"/>
                <w14:textFill>
                  <w14:solidFill>
                    <w14:schemeClr w14:val="tx1"/>
                  </w14:solidFill>
                </w14:textFill>
              </w:rPr>
              <w:t>生活用水</w:t>
            </w:r>
          </w:p>
          <w:p>
            <w:pPr>
              <w:widowControl w:val="0"/>
              <w:adjustRightInd w:val="0"/>
              <w:snapToGrid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本项目劳动定员40人，年工作天数300d，不在厂区内食宿，生活用水定额取30 L/（人• d），则项目生活用水量为1.2m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/d（360m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/a），产污系数按照0.8计，则污水产生量为0.96m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/d（288m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bCs/>
                <w:color w:val="000000" w:themeColor="text1"/>
                <w:sz w:val="24"/>
                <w14:textFill>
                  <w14:solidFill>
                    <w14:schemeClr w14:val="tx1"/>
                  </w14:solidFill>
                </w14:textFill>
              </w:rPr>
              <w:t>生活污水经化粪池</w:t>
            </w:r>
            <w:r>
              <w:rPr>
                <w:color w:val="000000" w:themeColor="text1"/>
                <w:sz w:val="24"/>
                <w14:textFill>
                  <w14:solidFill>
                    <w14:schemeClr w14:val="tx1"/>
                  </w14:solidFill>
                </w14:textFill>
              </w:rPr>
              <w:t>（5m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收集处理后，定期清运，不外排。</w:t>
            </w:r>
          </w:p>
          <w:p>
            <w:pPr>
              <w:widowControl w:val="0"/>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项目水平衡如下所示</w:t>
            </w:r>
          </w:p>
          <w:p>
            <w:pPr>
              <w:autoSpaceDE w:val="0"/>
              <w:autoSpaceDN w:val="0"/>
              <w:jc w:val="center"/>
              <w:rPr>
                <w:b/>
                <w:color w:val="000000" w:themeColor="text1"/>
                <w:szCs w:val="21"/>
                <w14:textFill>
                  <w14:solidFill>
                    <w14:schemeClr w14:val="tx1"/>
                  </w14:solidFill>
                </w14:textFill>
              </w:rPr>
            </w:pPr>
            <w:r>
              <w:rPr>
                <w:color w:val="000000" w:themeColor="text1"/>
                <w14:textFill>
                  <w14:solidFill>
                    <w14:schemeClr w14:val="tx1"/>
                  </w14:solidFill>
                </w14:textFill>
              </w:rPr>
              <w:object>
                <v:shape id="_x0000_i1025" o:spt="75" type="#_x0000_t75" style="height:375pt;width:411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r>
              <w:rPr>
                <w:b/>
                <w:color w:val="000000" w:themeColor="text1"/>
                <w:szCs w:val="21"/>
                <w14:textFill>
                  <w14:solidFill>
                    <w14:schemeClr w14:val="tx1"/>
                  </w14:solidFill>
                </w14:textFill>
              </w:rPr>
              <w:t>图1   本项目水平衡图（单位：m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/d）</w:t>
            </w:r>
          </w:p>
          <w:p>
            <w:pPr>
              <w:adjustRightInd w:val="0"/>
              <w:snapToGrid w:val="0"/>
              <w:spacing w:line="480" w:lineRule="exact"/>
              <w:ind w:firstLine="482" w:firstLineChars="200"/>
              <w:rPr>
                <w:b/>
                <w:color w:val="000000" w:themeColor="text1"/>
                <w:sz w:val="24"/>
                <w14:textFill>
                  <w14:solidFill>
                    <w14:schemeClr w14:val="tx1"/>
                  </w14:solidFill>
                </w14:textFill>
              </w:rPr>
            </w:pPr>
          </w:p>
          <w:p>
            <w:pPr>
              <w:adjustRightInd w:val="0"/>
              <w:snapToGrid w:val="0"/>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6、劳动定员及工作制度</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本项目劳动定员为40人，年工作日300天，实行每天8小时工作制，厂内不提供食宿。</w:t>
            </w:r>
          </w:p>
          <w:p>
            <w:pPr>
              <w:pStyle w:val="3"/>
              <w:spacing w:line="520" w:lineRule="exact"/>
              <w:ind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7、厂区平面布置</w:t>
            </w:r>
          </w:p>
          <w:p>
            <w:pPr>
              <w:adjustRightInd w:val="0"/>
              <w:snapToGrid w:val="0"/>
              <w:spacing w:line="520" w:lineRule="exact"/>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本项目厂区内设备按生产流程依次分布，同时车间中间预留安全通道，供货物运输和员工通行，布局紧凑合理，便于生产管理。项目物流、人流分离清晰，水电路布局合理。综</w:t>
            </w:r>
            <w:r>
              <w:rPr>
                <w:color w:val="000000" w:themeColor="text1"/>
                <w:sz w:val="24"/>
                <w14:textFill>
                  <w14:solidFill>
                    <w14:schemeClr w14:val="tx1"/>
                  </w14:solidFill>
                </w14:textFill>
              </w:rPr>
              <w:t>上，项目平面布置较合理，厂区平面布置图如附图4所示。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pct"/>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工艺流程和产排污环节</w:t>
            </w:r>
          </w:p>
        </w:tc>
        <w:tc>
          <w:tcPr>
            <w:tcW w:w="4627" w:type="pct"/>
            <w:shd w:val="clear" w:color="auto" w:fill="auto"/>
          </w:tcPr>
          <w:p>
            <w:pPr>
              <w:spacing w:line="520" w:lineRule="exact"/>
              <w:ind w:firstLine="482" w:firstLineChars="200"/>
              <w:jc w:val="both"/>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施工期</w:t>
            </w:r>
          </w:p>
          <w:p>
            <w:pPr>
              <w:widowControl w:val="0"/>
              <w:autoSpaceDE w:val="0"/>
              <w:autoSpaceDN w:val="0"/>
              <w:adjustRightInd w:val="0"/>
              <w:spacing w:line="520" w:lineRule="exact"/>
              <w:ind w:firstLine="39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本项目建设期间主要为地面平整和钢构厂房的搭建，工艺流程为原材料运输、基础建设、建筑施工、装修等。</w:t>
            </w:r>
          </w:p>
          <w:p>
            <w:pPr>
              <w:jc w:val="center"/>
              <w:rPr>
                <w:snapToGrid w:val="0"/>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object>
                <v:shape id="_x0000_i1026" o:spt="75" type="#_x0000_t75" style="height:136.5pt;width:388.5pt;" o:ole="t" filled="f" o:preferrelative="t" stroked="f" coordsize="21600,21600">
                  <v:path/>
                  <v:fill on="f" focussize="0,0"/>
                  <v:stroke on="f" joinstyle="miter"/>
                  <v:imagedata r:id="rId17" o:title=""/>
                  <o:lock v:ext="edit" aspectratio="t"/>
                  <w10:wrap type="none"/>
                  <w10:anchorlock/>
                </v:shape>
                <o:OLEObject Type="Embed" ProgID="Visio.Drawing.11" ShapeID="_x0000_i1026" DrawAspect="Content" ObjectID="_1468075726" r:id="rId16">
                  <o:LockedField>false</o:LockedField>
                </o:OLEObject>
              </w:object>
            </w:r>
          </w:p>
          <w:p>
            <w:pPr>
              <w:spacing w:line="520" w:lineRule="exact"/>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图2   施工期产污环节图</w:t>
            </w: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p>
          <w:p>
            <w:pPr>
              <w:pStyle w:val="14"/>
              <w:spacing w:before="0" w:beforeAutospacing="0" w:after="0" w:afterAutospacing="0" w:line="520" w:lineRule="exact"/>
              <w:ind w:firstLine="482" w:firstLineChars="200"/>
              <w:jc w:val="both"/>
              <w:rPr>
                <w:rFonts w:ascii="Times New Roman" w:hAnsi="Times New Roman"/>
                <w:b/>
                <w:bCs/>
                <w:snapToGrid w:val="0"/>
                <w:color w:val="000000" w:themeColor="text1"/>
                <w:szCs w:val="24"/>
                <w14:textFill>
                  <w14:solidFill>
                    <w14:schemeClr w14:val="tx1"/>
                  </w14:solidFill>
                </w14:textFill>
              </w:rPr>
            </w:pPr>
            <w:r>
              <w:rPr>
                <w:rFonts w:ascii="Times New Roman" w:hAnsi="Times New Roman"/>
                <w:b/>
                <w:bCs/>
                <w:snapToGrid w:val="0"/>
                <w:color w:val="000000" w:themeColor="text1"/>
                <w:szCs w:val="24"/>
                <w14:textFill>
                  <w14:solidFill>
                    <w14:schemeClr w14:val="tx1"/>
                  </w14:solidFill>
                </w14:textFill>
              </w:rPr>
              <w:t>运营期</w:t>
            </w:r>
          </w:p>
          <w:p>
            <w:pPr>
              <w:widowControl w:val="0"/>
              <w:spacing w:line="52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一、装配式砼预制构件工艺简述</w:t>
            </w:r>
          </w:p>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280.5pt;width:396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7" r:id="rId18">
                  <o:LockedField>false</o:LockedField>
                </o:OLEObject>
              </w:object>
            </w:r>
          </w:p>
          <w:p>
            <w:pPr>
              <w:widowControl w:val="0"/>
              <w:spacing w:line="5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图3   装配式砼预制构件生产工艺流程及产污环节示意图</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1、石子、机制砂的运输、输送与装填</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外购的石子由密闭箱式货车运输至厂内料库内储存，外购的机制砂由密闭箱式货车运输至密闭料库内，储存至料库中利用铲车将机制砂和石子分别平推入锥形下料器内（</w:t>
            </w:r>
            <w:r>
              <w:rPr>
                <w:rFonts w:hint="eastAsia"/>
                <w:color w:val="000000" w:themeColor="text1"/>
                <w:sz w:val="24"/>
                <w14:textFill>
                  <w14:solidFill>
                    <w14:schemeClr w14:val="tx1"/>
                  </w14:solidFill>
                </w14:textFill>
              </w:rPr>
              <w:t>下料器</w:t>
            </w:r>
            <w:r>
              <w:rPr>
                <w:color w:val="000000" w:themeColor="text1"/>
                <w:sz w:val="24"/>
                <w14:textFill>
                  <w14:solidFill>
                    <w14:schemeClr w14:val="tx1"/>
                  </w14:solidFill>
                </w14:textFill>
              </w:rPr>
              <w:t>位于密闭料库内</w:t>
            </w:r>
            <w:r>
              <w:rPr>
                <w:rFonts w:hint="eastAsia"/>
                <w:color w:val="000000" w:themeColor="text1"/>
                <w:sz w:val="24"/>
                <w14:textFill>
                  <w14:solidFill>
                    <w14:schemeClr w14:val="tx1"/>
                  </w14:solidFill>
                </w14:textFill>
              </w:rPr>
              <w:t>，地埋式投料</w:t>
            </w:r>
            <w:r>
              <w:rPr>
                <w:color w:val="000000" w:themeColor="text1"/>
                <w:sz w:val="24"/>
                <w14:textFill>
                  <w14:solidFill>
                    <w14:schemeClr w14:val="tx1"/>
                  </w14:solidFill>
                </w14:textFill>
              </w:rPr>
              <w:t>），下料器出口安装有计量秤，称重后的物料经皮带密闭输送</w:t>
            </w:r>
            <w:r>
              <w:rPr>
                <w:rFonts w:hint="eastAsia"/>
                <w:color w:val="000000" w:themeColor="text1"/>
                <w:sz w:val="24"/>
                <w14:textFill>
                  <w14:solidFill>
                    <w14:schemeClr w14:val="tx1"/>
                  </w14:solidFill>
                </w14:textFill>
              </w:rPr>
              <w:t>（地下皮带廊道）</w:t>
            </w:r>
            <w:r>
              <w:rPr>
                <w:color w:val="000000" w:themeColor="text1"/>
                <w:sz w:val="24"/>
                <w14:textFill>
                  <w14:solidFill>
                    <w14:schemeClr w14:val="tx1"/>
                  </w14:solidFill>
                </w14:textFill>
              </w:rPr>
              <w:t>至配料仓内。</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2、水泥的储存与输送</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外购的水泥由密闭罐车运输进厂，经气泵打入水泥仓内，筒仓底部设有计量装置，粉状物料按微机设定好的比例称重后，通过螺旋输送机经皮带输送至配料仓内。</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3、水和外加剂</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搅拌用水采用压力供水。外加剂主要为高效减水剂，外运进厂后置于供料罐内，通过计量泵进行配比拌料。</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4、配料、搅拌</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按比例调配好的各种物料根据不同方式输送至配料仓，配料完毕后开启放料阀，物料一次性落入搅拌仓。搅拌过程需加入适量水和减水剂，经检验合格后运至厂内预制场地内预制装配式预制构件。</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5、钢筋裁剪、焊接、安装</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外购的钢筋由汽车运至原料堆场，通过数控钢筋剪切生产线将根据所需定长裁断，该过程不会有粉尘产生。将经过剪切后的钢筋手工安装至数控钢筋笼缠绕机上，配上箍筋，使用点焊焊接，焊接过程不使用焊接材料，参考《不同焊接工艺的焊接烟尘污染特征》（郭永葆，科技情况开发与经济，2010年第20卷第4期），焊接过程没有焊接烟尘产生</w:t>
            </w:r>
            <w:r>
              <w:rPr>
                <w:rFonts w:hint="eastAsia"/>
                <w:color w:val="000000" w:themeColor="text1"/>
                <w:sz w:val="24"/>
                <w14:textFill>
                  <w14:solidFill>
                    <w14:schemeClr w14:val="tx1"/>
                  </w14:solidFill>
                </w14:textFill>
              </w:rPr>
              <w:t>，同时本项目多数钢筋采用扎丝捆绑方式固定，不使用焊接方式。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将焊接好的钢筋安装在模具中，并将搅拌好的混凝土填装至模具中。同时浇筑前需在模具内壁涂刷一层脱模剂，以保证脱模时混凝土表面光滑平整、棱角整齐无损。</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6、混凝土浇筑、振动成型</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将搅拌均匀的混料通过人工浇筑进模具中使其振动成型，以防预制构件中留有空隙。</w:t>
            </w:r>
          </w:p>
          <w:p>
            <w:pPr>
              <w:widowControl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7、蒸压养护、成品</w:t>
            </w:r>
          </w:p>
          <w:p>
            <w:pPr>
              <w:widowControl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建设单位设置蒸压釜用于预制构件蒸压养护，将成品置于密闭高压容器（蒸压釜）内进行蒸汽养护，提高预制构件的强度。</w:t>
            </w: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jc w:val="both"/>
              <w:rPr>
                <w:b/>
                <w:bCs/>
                <w:color w:val="000000" w:themeColor="text1"/>
                <w:kern w:val="0"/>
                <w:sz w:val="24"/>
                <w14:textFill>
                  <w14:solidFill>
                    <w14:schemeClr w14:val="tx1"/>
                  </w14:solidFill>
                </w14:textFill>
              </w:rPr>
            </w:pPr>
          </w:p>
          <w:p>
            <w:pPr>
              <w:widowControl w:val="0"/>
              <w:autoSpaceDE w:val="0"/>
              <w:autoSpaceDN w:val="0"/>
              <w:adjustRightInd w:val="0"/>
              <w:spacing w:line="520" w:lineRule="exact"/>
              <w:ind w:firstLine="482" w:firstLineChars="200"/>
              <w:jc w:val="both"/>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二、冷拌沥青材料</w:t>
            </w:r>
          </w:p>
          <w:p>
            <w:pPr>
              <w:widowControl w:val="0"/>
              <w:autoSpaceDE w:val="0"/>
              <w:autoSpaceDN w:val="0"/>
              <w:adjustRightInd w:val="0"/>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object>
                <v:shape id="_x0000_i1028" o:spt="75" type="#_x0000_t75" style="height:270pt;width:370.5pt;" o:ole="t" filled="f" o:preferrelative="t" stroked="f" coordsize="21600,21600">
                  <v:path/>
                  <v:fill on="f" focussize="0,0"/>
                  <v:stroke on="f" joinstyle="miter"/>
                  <v:imagedata r:id="rId21" o:title=""/>
                  <o:lock v:ext="edit" aspectratio="t"/>
                  <w10:wrap type="none"/>
                  <w10:anchorlock/>
                </v:shape>
                <o:OLEObject Type="Embed" ProgID="Visio.Drawing.11" ShapeID="_x0000_i1028" DrawAspect="Content" ObjectID="_1468075728" r:id="rId20">
                  <o:LockedField>false</o:LockedField>
                </o:OLEObject>
              </w:object>
            </w:r>
          </w:p>
          <w:p>
            <w:pPr>
              <w:widowControl w:val="0"/>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图4   项目泡沫沥青厂拌新型材料生产工艺流程及产污环节示意图</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1、再生料的运输、输送与装填</w:t>
            </w:r>
          </w:p>
          <w:p>
            <w:pPr>
              <w:widowControl w:val="0"/>
              <w:spacing w:line="520" w:lineRule="exact"/>
              <w:ind w:firstLine="480" w:firstLineChars="200"/>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利用路面回收再生料</w:t>
            </w:r>
            <w:r>
              <w:rPr>
                <w:color w:val="000000" w:themeColor="text1"/>
                <w:sz w:val="24"/>
                <w14:textFill>
                  <w14:solidFill>
                    <w14:schemeClr w14:val="tx1"/>
                  </w14:solidFill>
                </w14:textFill>
              </w:rPr>
              <w:t>由密闭箱式货车运输至厂内料库内储存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再生料经皮带密闭输送至再生料仓内，筒仓底部设有计量装置，物料按微机设定好的比例称重后，通过螺旋输送机经皮带输送至配料仓内。</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2、石子的运输、输送与装填</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外购的石子由密闭箱式货车运输至厂内料库内储存，利用铲车将石子平推入锥形下料器内（</w:t>
            </w:r>
            <w:r>
              <w:rPr>
                <w:rFonts w:hint="eastAsia"/>
                <w:color w:val="000000" w:themeColor="text1"/>
                <w:sz w:val="24"/>
                <w14:textFill>
                  <w14:solidFill>
                    <w14:schemeClr w14:val="tx1"/>
                  </w14:solidFill>
                </w14:textFill>
              </w:rPr>
              <w:t>下料器</w:t>
            </w:r>
            <w:r>
              <w:rPr>
                <w:color w:val="000000" w:themeColor="text1"/>
                <w:sz w:val="24"/>
                <w14:textFill>
                  <w14:solidFill>
                    <w14:schemeClr w14:val="tx1"/>
                  </w14:solidFill>
                </w14:textFill>
              </w:rPr>
              <w:t>位于密闭料仓</w:t>
            </w:r>
            <w:r>
              <w:rPr>
                <w:rFonts w:hint="eastAsia"/>
                <w:color w:val="000000" w:themeColor="text1"/>
                <w:sz w:val="24"/>
                <w14:textFill>
                  <w14:solidFill>
                    <w14:schemeClr w14:val="tx1"/>
                  </w14:solidFill>
                </w14:textFill>
              </w:rPr>
              <w:t>地下，属地埋式投料</w:t>
            </w:r>
            <w:r>
              <w:rPr>
                <w:color w:val="000000" w:themeColor="text1"/>
                <w:sz w:val="24"/>
                <w14:textFill>
                  <w14:solidFill>
                    <w14:schemeClr w14:val="tx1"/>
                  </w14:solidFill>
                </w14:textFill>
              </w:rPr>
              <w:t>），下料器出口安装有计量秤，称重后的物料经皮带密闭输送</w:t>
            </w:r>
            <w:r>
              <w:rPr>
                <w:rFonts w:hint="eastAsia"/>
                <w:color w:val="000000" w:themeColor="text1"/>
                <w:sz w:val="24"/>
                <w14:textFill>
                  <w14:solidFill>
                    <w14:schemeClr w14:val="tx1"/>
                  </w14:solidFill>
                </w14:textFill>
              </w:rPr>
              <w:t>（地下皮带廊道）</w:t>
            </w:r>
            <w:r>
              <w:rPr>
                <w:color w:val="000000" w:themeColor="text1"/>
                <w:sz w:val="24"/>
                <w14:textFill>
                  <w14:solidFill>
                    <w14:schemeClr w14:val="tx1"/>
                  </w14:solidFill>
                </w14:textFill>
              </w:rPr>
              <w:t>至配料仓内。</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3、水泥的储存与输送</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外购的水泥由密闭罐车运输进厂，经气泵打入水泥仓内，筒仓底部设有计量装置，粉状物料按微机设定好的比例称重后，通过螺旋输送机经皮带输送至配料仓内。</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4、沥青预处理流程</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外购的泡沫沥青由</w:t>
            </w:r>
            <w:r>
              <w:rPr>
                <w:rFonts w:hint="eastAsia"/>
                <w:color w:val="000000" w:themeColor="text1"/>
                <w:sz w:val="24"/>
                <w14:textFill>
                  <w14:solidFill>
                    <w14:schemeClr w14:val="tx1"/>
                  </w14:solidFill>
                </w14:textFill>
              </w:rPr>
              <w:t>罐</w:t>
            </w:r>
            <w:r>
              <w:rPr>
                <w:color w:val="000000" w:themeColor="text1"/>
                <w:sz w:val="24"/>
                <w14:textFill>
                  <w14:solidFill>
                    <w14:schemeClr w14:val="tx1"/>
                  </w14:solidFill>
                </w14:textFill>
              </w:rPr>
              <w:t>车经密闭沥青管道</w:t>
            </w:r>
            <w:r>
              <w:rPr>
                <w:rFonts w:hint="eastAsia"/>
                <w:color w:val="000000" w:themeColor="text1"/>
                <w:sz w:val="24"/>
                <w14:textFill>
                  <w14:solidFill>
                    <w14:schemeClr w14:val="tx1"/>
                  </w14:solidFill>
                </w14:textFill>
              </w:rPr>
              <w:t>直接</w:t>
            </w:r>
            <w:r>
              <w:rPr>
                <w:color w:val="000000" w:themeColor="text1"/>
                <w:sz w:val="24"/>
                <w14:textFill>
                  <w14:solidFill>
                    <w14:schemeClr w14:val="tx1"/>
                  </w14:solidFill>
                </w14:textFill>
              </w:rPr>
              <w:t>送至</w:t>
            </w:r>
            <w:r>
              <w:rPr>
                <w:rFonts w:hint="eastAsia"/>
                <w:color w:val="000000" w:themeColor="text1"/>
                <w:sz w:val="24"/>
                <w14:textFill>
                  <w14:solidFill>
                    <w14:schemeClr w14:val="tx1"/>
                  </w14:solidFill>
                </w14:textFill>
              </w:rPr>
              <w:t>拌合机进行搅拌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厂内不设置沥青储罐。</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5、配料、搅拌</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按比例调配好的石子、水泥和再生料根据不同方式输送至配料仓，配料完毕后开启放料阀，物料一次性落入搅拌仓。搅拌过程中分级加入泡沫沥青进行冷拌和（运行温度＜40°，不产生沥青烟等有机废气）。搅拌均匀后即为成品。</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6、放料装车</w:t>
            </w:r>
          </w:p>
          <w:p>
            <w:pPr>
              <w:widowControl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拌合后的成品通过放料气动阀门卸入运输罐车内，然后运输至低等级公路使用。</w:t>
            </w:r>
          </w:p>
          <w:p>
            <w:pPr>
              <w:pStyle w:val="59"/>
              <w:spacing w:line="520" w:lineRule="exact"/>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注：本项目除尘器收集的粉尘，回用于生产，不纳入固废管理。</w:t>
            </w:r>
          </w:p>
          <w:p>
            <w:pPr>
              <w:pStyle w:val="71"/>
              <w:numPr>
                <w:ilvl w:val="0"/>
                <w:numId w:val="2"/>
              </w:numPr>
              <w:autoSpaceDE w:val="0"/>
              <w:autoSpaceDN w:val="0"/>
              <w:adjustRightInd w:val="0"/>
              <w:snapToGrid w:val="0"/>
              <w:spacing w:before="240" w:beforeLines="10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污染源及排放特点一览表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4"/>
              <w:gridCol w:w="2057"/>
              <w:gridCol w:w="2133"/>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类别</w:t>
                  </w: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污染源</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污染因子</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restar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废气</w:t>
                  </w: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投料</w:t>
                  </w:r>
                  <w:r>
                    <w:rPr>
                      <w:rFonts w:hint="eastAsia"/>
                      <w:bCs w:val="0"/>
                      <w:color w:val="000000" w:themeColor="text1"/>
                      <w:sz w:val="21"/>
                      <w:szCs w:val="21"/>
                      <w14:textFill>
                        <w14:solidFill>
                          <w14:schemeClr w14:val="tx1"/>
                        </w14:solidFill>
                      </w14:textFill>
                    </w:rPr>
                    <w:t>、</w:t>
                  </w:r>
                  <w:r>
                    <w:rPr>
                      <w:bCs w:val="0"/>
                      <w:color w:val="000000" w:themeColor="text1"/>
                      <w:sz w:val="21"/>
                      <w:szCs w:val="21"/>
                      <w14:textFill>
                        <w14:solidFill>
                          <w14:schemeClr w14:val="tx1"/>
                        </w14:solidFill>
                      </w14:textFill>
                    </w:rPr>
                    <w:t>物料输送</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覆膜袋式除尘器+15m高排气筒DA001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料仓</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覆膜袋式除尘器+15m高排气筒DA002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1#搅拌</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覆膜袋式除尘器+15m高排气筒DA003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2#搅拌</w:t>
                  </w:r>
                </w:p>
              </w:tc>
              <w:tc>
                <w:tcPr>
                  <w:tcW w:w="1299"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覆膜袋式除尘器+15m高排气筒DA004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3#搅拌</w:t>
                  </w:r>
                </w:p>
              </w:tc>
              <w:tc>
                <w:tcPr>
                  <w:tcW w:w="1299"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覆膜袋式除尘器+15m高排气筒DA005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燃气锅炉</w:t>
                  </w:r>
                </w:p>
              </w:tc>
              <w:tc>
                <w:tcPr>
                  <w:tcW w:w="1299"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X</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采用低氮燃烧器</w:t>
                  </w:r>
                  <w:r>
                    <w:rPr>
                      <w:bCs w:val="0"/>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8m高排气筒排放</w:t>
                  </w:r>
                  <w:r>
                    <w:rPr>
                      <w:bCs w:val="0"/>
                      <w:color w:val="000000" w:themeColor="text1"/>
                      <w:sz w:val="21"/>
                      <w:szCs w:val="21"/>
                      <w14:textFill>
                        <w14:solidFill>
                          <w14:schemeClr w14:val="tx1"/>
                        </w14:solidFill>
                      </w14:textFill>
                    </w:rPr>
                    <w:t>DA006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车辆运输</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厂区道路硬化并定期清扫，厂区设置高空喷淋装置，厂区及料场进出口设置车辆冲洗装置。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物料装卸</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原料仓库顶部设置高压喷雾装置，车间密闭、地面硬化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restar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废水</w:t>
                  </w: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车辆及设备冲洗</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SS</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经沉淀池（15m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搅拌机清洗废水</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SS</w:t>
                  </w:r>
                </w:p>
              </w:tc>
              <w:tc>
                <w:tcPr>
                  <w:tcW w:w="1952"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经沉淀池（5m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锅炉排污水</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COD、NH</w:t>
                  </w:r>
                  <w:r>
                    <w:rPr>
                      <w:bCs w:val="0"/>
                      <w:color w:val="000000" w:themeColor="text1"/>
                      <w:sz w:val="21"/>
                      <w:szCs w:val="21"/>
                      <w:vertAlign w:val="subscript"/>
                      <w14:textFill>
                        <w14:solidFill>
                          <w14:schemeClr w14:val="tx1"/>
                        </w14:solidFill>
                      </w14:textFill>
                    </w:rPr>
                    <w:t>3</w:t>
                  </w:r>
                  <w:r>
                    <w:rPr>
                      <w:bCs w:val="0"/>
                      <w:color w:val="000000" w:themeColor="text1"/>
                      <w:sz w:val="21"/>
                      <w:szCs w:val="21"/>
                      <w14:textFill>
                        <w14:solidFill>
                          <w14:schemeClr w14:val="tx1"/>
                        </w14:solidFill>
                      </w14:textFill>
                    </w:rPr>
                    <w:t>-N</w:t>
                  </w:r>
                </w:p>
              </w:tc>
              <w:tc>
                <w:tcPr>
                  <w:tcW w:w="1952" w:type="pct"/>
                </w:tcPr>
                <w:p>
                  <w:pPr>
                    <w:pStyle w:val="15"/>
                    <w:adjustRightInd w:val="0"/>
                    <w:snapToGrid w:val="0"/>
                    <w:spacing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进入搅拌添加水中，自然蒸发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软化处理废水</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COD、NH</w:t>
                  </w:r>
                  <w:r>
                    <w:rPr>
                      <w:bCs w:val="0"/>
                      <w:color w:val="000000" w:themeColor="text1"/>
                      <w:sz w:val="21"/>
                      <w:szCs w:val="21"/>
                      <w:vertAlign w:val="subscript"/>
                      <w14:textFill>
                        <w14:solidFill>
                          <w14:schemeClr w14:val="tx1"/>
                        </w14:solidFill>
                      </w14:textFill>
                    </w:rPr>
                    <w:t>3</w:t>
                  </w:r>
                  <w:r>
                    <w:rPr>
                      <w:bCs w:val="0"/>
                      <w:color w:val="000000" w:themeColor="text1"/>
                      <w:sz w:val="21"/>
                      <w:szCs w:val="21"/>
                      <w14:textFill>
                        <w14:solidFill>
                          <w14:schemeClr w14:val="tx1"/>
                        </w14:solidFill>
                      </w14:textFill>
                    </w:rPr>
                    <w:t>-N</w:t>
                  </w:r>
                </w:p>
              </w:tc>
              <w:tc>
                <w:tcPr>
                  <w:tcW w:w="1952" w:type="pct"/>
                </w:tcPr>
                <w:p>
                  <w:pPr>
                    <w:pStyle w:val="15"/>
                    <w:adjustRightInd w:val="0"/>
                    <w:snapToGrid w:val="0"/>
                    <w:spacing w:line="24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进入搅拌添加水中，自然蒸发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职工生活</w:t>
                  </w:r>
                </w:p>
              </w:tc>
              <w:tc>
                <w:tcPr>
                  <w:tcW w:w="1299"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COD、NH</w:t>
                  </w:r>
                  <w:r>
                    <w:rPr>
                      <w:bCs w:val="0"/>
                      <w:color w:val="000000" w:themeColor="text1"/>
                      <w:sz w:val="21"/>
                      <w:szCs w:val="21"/>
                      <w:vertAlign w:val="subscript"/>
                      <w14:textFill>
                        <w14:solidFill>
                          <w14:schemeClr w14:val="tx1"/>
                        </w14:solidFill>
                      </w14:textFill>
                    </w:rPr>
                    <w:t>3</w:t>
                  </w:r>
                  <w:r>
                    <w:rPr>
                      <w:bCs w:val="0"/>
                      <w:color w:val="000000" w:themeColor="text1"/>
                      <w:sz w:val="21"/>
                      <w:szCs w:val="21"/>
                      <w14:textFill>
                        <w14:solidFill>
                          <w14:schemeClr w14:val="tx1"/>
                        </w14:solidFill>
                      </w14:textFill>
                    </w:rPr>
                    <w:t>-N、TP</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经化粪池（5m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）处理后，定期清运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噪声</w:t>
                  </w:r>
                </w:p>
              </w:tc>
              <w:tc>
                <w:tcPr>
                  <w:tcW w:w="1253"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机械设备</w:t>
                  </w:r>
                </w:p>
              </w:tc>
              <w:tc>
                <w:tcPr>
                  <w:tcW w:w="1299" w:type="pct"/>
                  <w:vAlign w:val="center"/>
                </w:tcPr>
                <w:p>
                  <w:pPr>
                    <w:widowControl w:val="0"/>
                    <w:adjustRightInd w:val="0"/>
                    <w:snapToGrid w:val="0"/>
                    <w:spacing w:line="240" w:lineRule="exact"/>
                    <w:jc w:val="center"/>
                    <w:rPr>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设备噪声</w:t>
                  </w:r>
                </w:p>
              </w:tc>
              <w:tc>
                <w:tcPr>
                  <w:tcW w:w="1952" w:type="pct"/>
                  <w:vAlign w:val="center"/>
                </w:tcPr>
                <w:p>
                  <w:pPr>
                    <w:pStyle w:val="15"/>
                    <w:adjustRightInd w:val="0"/>
                    <w:snapToGrid w:val="0"/>
                    <w:spacing w:line="240" w:lineRule="exact"/>
                    <w:rPr>
                      <w:bCs w:val="0"/>
                      <w:color w:val="000000" w:themeColor="text1"/>
                      <w:sz w:val="21"/>
                      <w:szCs w:val="21"/>
                      <w14:textFill>
                        <w14:solidFill>
                          <w14:schemeClr w14:val="tx1"/>
                        </w14:solidFill>
                      </w14:textFill>
                    </w:rPr>
                  </w:pPr>
                  <w:r>
                    <w:rPr>
                      <w:bCs w:val="0"/>
                      <w:color w:val="000000" w:themeColor="text1"/>
                      <w:sz w:val="21"/>
                      <w:szCs w:val="21"/>
                      <w14:textFill>
                        <w14:solidFill>
                          <w14:schemeClr w14:val="tx1"/>
                        </w14:solidFill>
                      </w14:textFill>
                    </w:rPr>
                    <w:t>采取厂房隔声、基础减震等措施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restart"/>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552" w:type="pct"/>
                  <w:gridSpan w:val="2"/>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沉淀池沉渣</w:t>
                  </w:r>
                </w:p>
              </w:tc>
              <w:tc>
                <w:tcPr>
                  <w:tcW w:w="1952" w:type="pct"/>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沉淀池沉渣置于一般固废暂存间（20m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），定期外售用于制砖、修路等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widowControl w:val="0"/>
                    <w:adjustRightInd w:val="0"/>
                    <w:snapToGrid w:val="0"/>
                    <w:spacing w:line="240" w:lineRule="exact"/>
                    <w:jc w:val="center"/>
                    <w:rPr>
                      <w:color w:val="000000" w:themeColor="text1"/>
                      <w:szCs w:val="21"/>
                      <w14:textFill>
                        <w14:solidFill>
                          <w14:schemeClr w14:val="tx1"/>
                        </w14:solidFill>
                      </w14:textFill>
                    </w:rPr>
                  </w:pPr>
                </w:p>
              </w:tc>
              <w:tc>
                <w:tcPr>
                  <w:tcW w:w="2552" w:type="pct"/>
                  <w:gridSpan w:val="2"/>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钢筋裁剪下脚料</w:t>
                  </w:r>
                </w:p>
              </w:tc>
              <w:tc>
                <w:tcPr>
                  <w:tcW w:w="1952" w:type="pct"/>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置于一般固废暂存间（20m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），定期外售给废品回收站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widowControl w:val="0"/>
                    <w:adjustRightInd w:val="0"/>
                    <w:snapToGrid w:val="0"/>
                    <w:spacing w:line="240" w:lineRule="exact"/>
                    <w:jc w:val="center"/>
                    <w:rPr>
                      <w:color w:val="000000" w:themeColor="text1"/>
                      <w:szCs w:val="21"/>
                      <w14:textFill>
                        <w14:solidFill>
                          <w14:schemeClr w14:val="tx1"/>
                        </w14:solidFill>
                      </w14:textFill>
                    </w:rPr>
                  </w:pPr>
                </w:p>
              </w:tc>
              <w:tc>
                <w:tcPr>
                  <w:tcW w:w="2552" w:type="pct"/>
                  <w:gridSpan w:val="2"/>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员工生活垃圾</w:t>
                  </w:r>
                </w:p>
              </w:tc>
              <w:tc>
                <w:tcPr>
                  <w:tcW w:w="1952" w:type="pct"/>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暂存垃圾桶后定期清运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96" w:type="pct"/>
                  <w:vMerge w:val="continue"/>
                  <w:vAlign w:val="center"/>
                </w:tcPr>
                <w:p>
                  <w:pPr>
                    <w:widowControl w:val="0"/>
                    <w:adjustRightInd w:val="0"/>
                    <w:snapToGrid w:val="0"/>
                    <w:spacing w:line="240" w:lineRule="exact"/>
                    <w:jc w:val="center"/>
                    <w:rPr>
                      <w:color w:val="000000" w:themeColor="text1"/>
                      <w:szCs w:val="21"/>
                      <w14:textFill>
                        <w14:solidFill>
                          <w14:schemeClr w14:val="tx1"/>
                        </w14:solidFill>
                      </w14:textFill>
                    </w:rPr>
                  </w:pPr>
                </w:p>
              </w:tc>
              <w:tc>
                <w:tcPr>
                  <w:tcW w:w="2552" w:type="pct"/>
                  <w:gridSpan w:val="2"/>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软化水制备过程中产生的</w:t>
                  </w:r>
                  <w:r>
                    <w:rPr>
                      <w:color w:val="000000" w:themeColor="text1"/>
                      <w14:textFill>
                        <w14:solidFill>
                          <w14:schemeClr w14:val="tx1"/>
                        </w14:solidFill>
                      </w14:textFill>
                    </w:rPr>
                    <w:t>废树脂</w:t>
                  </w:r>
                </w:p>
              </w:tc>
              <w:tc>
                <w:tcPr>
                  <w:tcW w:w="1952" w:type="pct"/>
                  <w:vAlign w:val="center"/>
                </w:tcPr>
                <w:p>
                  <w:pPr>
                    <w:widowControl w:val="0"/>
                    <w:adjustRightInd w:val="0"/>
                    <w:snapToGrid w:val="0"/>
                    <w:spacing w:line="2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经密封罐储存后，存放于危废暂存间（10m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），定期委托具有资质的单位安全处置</w:t>
                  </w:r>
                </w:p>
              </w:tc>
            </w:tr>
          </w:tbl>
          <w:p>
            <w:pPr>
              <w:pStyle w:val="14"/>
              <w:spacing w:before="0" w:beforeAutospacing="0" w:after="0" w:afterAutospacing="0" w:line="520" w:lineRule="exact"/>
              <w:jc w:val="both"/>
              <w:rPr>
                <w:rFonts w:ascii="Times New Roman" w:hAnsi="Times New Roman"/>
                <w:snapToGrid w:val="0"/>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2" w:hRule="atLeast"/>
        </w:trPr>
        <w:tc>
          <w:tcPr>
            <w:tcW w:w="373" w:type="pct"/>
            <w:vAlign w:val="center"/>
          </w:tcPr>
          <w:p>
            <w:pPr>
              <w:pStyle w:val="14"/>
              <w:spacing w:before="0" w:beforeAutospacing="0" w:after="0" w:afterAutospacing="0"/>
              <w:rPr>
                <w:rFonts w:ascii="Times New Roman" w:hAnsi="Times New Roman"/>
                <w:snapToGrid w:val="0"/>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与项目有关的原有环境污染问题</w:t>
            </w:r>
          </w:p>
        </w:tc>
        <w:tc>
          <w:tcPr>
            <w:tcW w:w="4627" w:type="pct"/>
            <w:vAlign w:val="center"/>
          </w:tcPr>
          <w:p>
            <w:pPr>
              <w:pStyle w:val="14"/>
              <w:spacing w:before="0" w:beforeAutospacing="0" w:after="0" w:afterAutospacing="0" w:line="520" w:lineRule="exact"/>
              <w:ind w:firstLine="420" w:firstLineChars="20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无</w:t>
            </w:r>
          </w:p>
        </w:tc>
      </w:tr>
    </w:tbl>
    <w:p>
      <w:pPr>
        <w:pStyle w:val="14"/>
        <w:ind w:firstLine="480"/>
        <w:jc w:val="both"/>
        <w:rPr>
          <w:rFonts w:ascii="Times New Roman" w:hAnsi="Times New Roman"/>
          <w:snapToGrid w:val="0"/>
          <w:color w:val="000000" w:themeColor="text1"/>
          <w:szCs w:val="24"/>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14" w:lineRule="auto"/>
        <w:ind w:firstLine="600"/>
        <w:jc w:val="center"/>
        <w:outlineLvl w:val="0"/>
        <w:rPr>
          <w:rFonts w:ascii="Times New Roman" w:hAnsi="Times New Roman"/>
          <w:snapToGrid w:val="0"/>
          <w:color w:val="000000" w:themeColor="text1"/>
          <w:sz w:val="30"/>
          <w:szCs w:val="30"/>
          <w14:textFill>
            <w14:solidFill>
              <w14:schemeClr w14:val="tx1"/>
            </w14:solidFill>
          </w14:textFill>
        </w:rPr>
      </w:pPr>
    </w:p>
    <w:p>
      <w:pPr>
        <w:pStyle w:val="14"/>
        <w:spacing w:before="0" w:beforeAutospacing="0" w:after="0" w:afterAutospacing="0" w:line="520" w:lineRule="exact"/>
        <w:ind w:firstLine="602"/>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三、区域环境质量现状、环境保护目标及评价标准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区域环境质量现状</w:t>
            </w:r>
          </w:p>
        </w:tc>
        <w:tc>
          <w:tcPr>
            <w:tcW w:w="8386" w:type="dxa"/>
            <w:shd w:val="clear" w:color="auto" w:fill="auto"/>
          </w:tcPr>
          <w:p>
            <w:pPr>
              <w:snapToGrid w:val="0"/>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1、环境空气质量现状</w:t>
            </w:r>
          </w:p>
          <w:p>
            <w:pPr>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（1）基本污染物</w:t>
            </w:r>
          </w:p>
          <w:p>
            <w:pPr>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大气功能区划分原则，建设项目所在地为二类功能区，环境空气质量应执行《环境空气质量标准》（GB3095-2012）二级标准。根据新乡市环境保护局发布《新乡市2021年环境质量年报》，区域空气质量现状数据如下表所示。</w:t>
            </w:r>
          </w:p>
          <w:p>
            <w:pPr>
              <w:pStyle w:val="71"/>
              <w:numPr>
                <w:ilvl w:val="0"/>
                <w:numId w:val="2"/>
              </w:numPr>
              <w:autoSpaceDE w:val="0"/>
              <w:autoSpaceDN w:val="0"/>
              <w:adjustRightInd w:val="0"/>
              <w:snapToGrid w:val="0"/>
              <w:ind w:firstLineChars="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空气质量现状评价表    单位(μg/m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4"/>
              <w:gridCol w:w="1723"/>
              <w:gridCol w:w="1591"/>
              <w:gridCol w:w="1327"/>
              <w:gridCol w:w="1133"/>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污染物</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694" w:type="pct"/>
                  <w:tcBorders>
                    <w:top w:val="single" w:color="000000" w:sz="4" w:space="0"/>
                    <w:left w:val="single" w:color="000000"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132.9</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134.3</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18.3</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第95百分位浓度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1600</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1"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056"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第90百分位浓度</w:t>
                  </w:r>
                </w:p>
              </w:tc>
              <w:tc>
                <w:tcPr>
                  <w:tcW w:w="975"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173</w:t>
                  </w:r>
                </w:p>
              </w:tc>
              <w:tc>
                <w:tcPr>
                  <w:tcW w:w="813" w:type="pct"/>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694"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108.1</w:t>
                  </w:r>
                </w:p>
              </w:tc>
              <w:tc>
                <w:tcPr>
                  <w:tcW w:w="651" w:type="pct"/>
                  <w:tcBorders>
                    <w:top w:val="single" w:color="000000" w:sz="4" w:space="0"/>
                    <w:left w:val="single" w:color="auto" w:sz="4" w:space="0"/>
                    <w:bottom w:val="single" w:color="000000" w:sz="4" w:space="0"/>
                    <w:right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r>
          </w:tbl>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10</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和O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均不能够满足</w:t>
            </w:r>
            <w:r>
              <w:rPr>
                <w:color w:val="000000" w:themeColor="text1"/>
                <w:kern w:val="0"/>
                <w:sz w:val="24"/>
                <w14:textFill>
                  <w14:solidFill>
                    <w14:schemeClr w14:val="tx1"/>
                  </w14:solidFill>
                </w14:textFill>
              </w:rPr>
              <w:t>《环境空气质量标准》（GB3095-2012）二级标准要求。</w:t>
            </w:r>
            <w:r>
              <w:rPr>
                <w:color w:val="000000" w:themeColor="text1"/>
                <w:sz w:val="24"/>
                <w14:textFill>
                  <w14:solidFill>
                    <w14:schemeClr w14:val="tx1"/>
                  </w14:solidFill>
                </w14:textFill>
              </w:rPr>
              <w:t>根据《环境影响评价技术导则大气环境》（HJ2.2-2018），本项目所在区域属于未达标区。</w:t>
            </w:r>
            <w:r>
              <w:rPr>
                <w:rFonts w:hint="eastAsia"/>
                <w:color w:val="000000" w:themeColor="text1"/>
                <w:sz w:val="24"/>
                <w14:textFill>
                  <w14:solidFill>
                    <w14:schemeClr w14:val="tx1"/>
                  </w14:solidFill>
                </w14:textFill>
              </w:rPr>
              <w:t>项目污染物排放量采取双倍替代方式，建成后不会对区域环境质量底线造成冲击。</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目前新乡市正在实施《新乡市环境污染防治攻坚指挥部办公室关于印发新乡市2022年大气、水、土壤污染防治攻坚战及农业农村污染治理攻坚战实施方案的通知》（新环攻坚办[2022]60号），将不断改善区域大气环境质量。</w:t>
            </w:r>
          </w:p>
          <w:p>
            <w:pPr>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2、地表水环境质量现状</w:t>
            </w:r>
          </w:p>
          <w:p>
            <w:pPr>
              <w:spacing w:line="360" w:lineRule="auto"/>
              <w:ind w:firstLine="480" w:firstLineChars="200"/>
              <w:rPr>
                <w:color w:val="000000" w:themeColor="text1"/>
                <w:spacing w:val="-4"/>
                <w:sz w:val="24"/>
                <w14:textFill>
                  <w14:solidFill>
                    <w14:schemeClr w14:val="tx1"/>
                  </w14:solidFill>
                </w14:textFill>
              </w:rPr>
            </w:pPr>
            <w:r>
              <w:rPr>
                <w:color w:val="000000" w:themeColor="text1"/>
                <w:sz w:val="24"/>
                <w14:textFill>
                  <w14:solidFill>
                    <w14:schemeClr w14:val="tx1"/>
                  </w14:solidFill>
                </w14:textFill>
              </w:rPr>
              <w:t>经现场踏勘，距离本项目最近的地表水体为东侧128m处的共产主义渠，属于海河流域。依据《“十四五”及2021年地表水环境质量目标》和新乡市生态环境局《关于下达2022年地表水环境质量暂定目标的函》，海河流域共产主义渠“2022年目标”地表水断面标准应执行</w:t>
            </w:r>
            <w:r>
              <w:rPr>
                <w:rFonts w:hint="eastAsia" w:ascii="宋体" w:hAnsi="宋体" w:cs="宋体"/>
                <w:color w:val="000000" w:themeColor="text1"/>
                <w:sz w:val="24"/>
                <w14:textFill>
                  <w14:solidFill>
                    <w14:schemeClr w14:val="tx1"/>
                  </w14:solidFill>
                </w14:textFill>
              </w:rPr>
              <w:t>Ⅳ</w:t>
            </w:r>
            <w:r>
              <w:rPr>
                <w:color w:val="000000" w:themeColor="text1"/>
                <w:sz w:val="24"/>
                <w14:textFill>
                  <w14:solidFill>
                    <w14:schemeClr w14:val="tx1"/>
                  </w14:solidFill>
                </w14:textFill>
              </w:rPr>
              <w:t>类水质。评价引用国家地表水水质发布系统发布的2021年10月份共产主义渠获嘉县东碑村断面（距离本项目8.3km）水质监测数据。具体数据见下表。</w:t>
            </w:r>
          </w:p>
          <w:p>
            <w:pPr>
              <w:pStyle w:val="71"/>
              <w:numPr>
                <w:ilvl w:val="0"/>
                <w:numId w:val="2"/>
              </w:numPr>
              <w:autoSpaceDE w:val="0"/>
              <w:autoSpaceDN w:val="0"/>
              <w:adjustRightInd w:val="0"/>
              <w:snapToGrid w:val="0"/>
              <w:ind w:firstLineChars="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新乡市2021年10月获嘉东碑村断面地表水达标情况一览表 单位：mg/L</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6"/>
              <w:gridCol w:w="2043"/>
              <w:gridCol w:w="2073"/>
              <w:gridCol w:w="2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2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污染因子</w:t>
                  </w:r>
                </w:p>
              </w:tc>
              <w:tc>
                <w:tcPr>
                  <w:tcW w:w="1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2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25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2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检测值</w:t>
                  </w:r>
                </w:p>
              </w:tc>
              <w:tc>
                <w:tcPr>
                  <w:tcW w:w="1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2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0.52</w:t>
                  </w:r>
                </w:p>
              </w:tc>
              <w:tc>
                <w:tcPr>
                  <w:tcW w:w="125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2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1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2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5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2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c>
                <w:tcPr>
                  <w:tcW w:w="125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12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125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由上表可知，项目所在地的水质可以满足《地表水环境质量标准》（GB3838-2002）</w:t>
            </w:r>
            <w:r>
              <w:rPr>
                <w:rFonts w:hint="eastAsia" w:ascii="宋体" w:hAnsi="宋体" w:cs="宋体"/>
                <w:color w:val="000000" w:themeColor="text1"/>
                <w:sz w:val="24"/>
                <w14:textFill>
                  <w14:solidFill>
                    <w14:schemeClr w14:val="tx1"/>
                  </w14:solidFill>
                </w14:textFill>
              </w:rPr>
              <w:t>Ⅳ</w:t>
            </w:r>
            <w:r>
              <w:rPr>
                <w:color w:val="000000" w:themeColor="text1"/>
                <w:sz w:val="24"/>
                <w14:textFill>
                  <w14:solidFill>
                    <w14:schemeClr w14:val="tx1"/>
                  </w14:solidFill>
                </w14:textFill>
              </w:rPr>
              <w:t>类水质标准要求，本项目所在区域地表水环境质量现状良好。</w:t>
            </w:r>
          </w:p>
          <w:p>
            <w:pPr>
              <w:adjustRightInd w:val="0"/>
              <w:snapToGrid w:val="0"/>
              <w:spacing w:line="48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3、声环境质量现状</w:t>
            </w:r>
          </w:p>
          <w:p>
            <w:pPr>
              <w:adjustRightInd w:val="0"/>
              <w:spacing w:line="480" w:lineRule="exact"/>
              <w:ind w:firstLine="480" w:firstLineChars="200"/>
              <w:rPr>
                <w:rStyle w:val="46"/>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本项目位于新乡市获嘉县太山镇罗旗营村西南角</w:t>
            </w:r>
            <w:r>
              <w:rPr>
                <w:rStyle w:val="46"/>
                <w:color w:val="000000" w:themeColor="text1"/>
                <w:sz w:val="24"/>
                <w14:textFill>
                  <w14:solidFill>
                    <w14:schemeClr w14:val="tx1"/>
                  </w14:solidFill>
                </w14:textFill>
              </w:rPr>
              <w:t>，根据声环境功能区划分规定，项目所在区域属于2类区，应执行《声环境质量标准》（GB3096-2008）2类标准，本项目厂界外周边50米范围内不存在声环境保护目标，因此不进行声环境质量现状调查。</w:t>
            </w:r>
          </w:p>
          <w:p>
            <w:pPr>
              <w:adjustRightInd w:val="0"/>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4、生态环境</w:t>
            </w:r>
          </w:p>
          <w:p>
            <w:pPr>
              <w:adjustRightInd w:val="0"/>
              <w:spacing w:line="48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本项目位于新乡市获嘉县太山镇罗旗营村西南角</w:t>
            </w:r>
            <w:r>
              <w:rPr>
                <w:rStyle w:val="46"/>
                <w:color w:val="000000" w:themeColor="text1"/>
                <w:sz w:val="24"/>
                <w14:textFill>
                  <w14:solidFill>
                    <w14:schemeClr w14:val="tx1"/>
                  </w14:solidFill>
                </w14:textFill>
              </w:rPr>
              <w:t>，</w:t>
            </w:r>
            <w:r>
              <w:rPr>
                <w:color w:val="000000" w:themeColor="text1"/>
                <w:kern w:val="0"/>
                <w:sz w:val="24"/>
                <w14:textFill>
                  <w14:solidFill>
                    <w14:schemeClr w14:val="tx1"/>
                  </w14:solidFill>
                </w14:textFill>
              </w:rPr>
              <w:t>项目用地范围内不存在生态环境保护目标。</w:t>
            </w:r>
          </w:p>
          <w:p>
            <w:pPr>
              <w:adjustRightInd w:val="0"/>
              <w:snapToGrid w:val="0"/>
              <w:spacing w:line="480" w:lineRule="exact"/>
              <w:ind w:firstLine="482" w:firstLineChars="200"/>
              <w:jc w:val="both"/>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5、地下水、土壤环境质量现状</w:t>
            </w:r>
          </w:p>
          <w:p>
            <w:pPr>
              <w:adjustRightInd w:val="0"/>
              <w:snapToGrid w:val="0"/>
              <w:spacing w:line="480" w:lineRule="exact"/>
              <w:ind w:firstLine="480" w:firstLineChars="200"/>
              <w:jc w:val="both"/>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项目位于新乡市获嘉县太山镇罗旗营村西南角，项目周边地下水、土壤环境不敏感，采取有效的防渗措施后，项目对地下水、土壤环境影响较小，不存在土壤、地下水环境污染途径，因此，本次评价不再对地下水、土壤环境质量进行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75"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环境保护目标</w:t>
            </w:r>
          </w:p>
        </w:tc>
        <w:tc>
          <w:tcPr>
            <w:tcW w:w="8386" w:type="dxa"/>
            <w:shd w:val="clear" w:color="auto" w:fill="auto"/>
          </w:tcPr>
          <w:p>
            <w:pPr>
              <w:adjustRightInd w:val="0"/>
              <w:snapToGrid w:val="0"/>
              <w:spacing w:line="520" w:lineRule="exact"/>
              <w:ind w:firstLine="422"/>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大气环境、声环境、地下水环境保护目标</w:t>
            </w:r>
          </w:p>
          <w:p>
            <w:pPr>
              <w:adjustRightInd w:val="0"/>
              <w:snapToGrid w:val="0"/>
              <w:spacing w:line="520" w:lineRule="exact"/>
              <w:ind w:firstLine="42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根据《建设项目环境影响报告表编制技术指南（污染影响类）（试行）》（环办环评〔2020〕33号）要求以及对项目周边环境的调查，本项目大气环境（厂界外500m）、声环境（厂界外50m）、地下水环境（500米）、生态环境保护目标见下表所示。 </w:t>
            </w:r>
          </w:p>
          <w:p>
            <w:pPr>
              <w:pStyle w:val="71"/>
              <w:numPr>
                <w:ilvl w:val="0"/>
                <w:numId w:val="2"/>
              </w:numPr>
              <w:autoSpaceDE w:val="0"/>
              <w:autoSpaceDN w:val="0"/>
              <w:adjustRightInd w:val="0"/>
              <w:snapToGrid w:val="0"/>
              <w:ind w:firstLineChars="0"/>
              <w:jc w:val="center"/>
              <w:rPr>
                <w:b/>
                <w:bCs/>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 xml:space="preserve">  </w:t>
            </w:r>
            <w:r>
              <w:rPr>
                <w:b/>
                <w:bCs/>
                <w:color w:val="000000" w:themeColor="text1"/>
                <w:kern w:val="0"/>
                <w:szCs w:val="21"/>
                <w14:textFill>
                  <w14:solidFill>
                    <w14:schemeClr w14:val="tx1"/>
                  </w14:solidFill>
                </w14:textFill>
              </w:rPr>
              <w:t>环境保护目标一览表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017"/>
              <w:gridCol w:w="1452"/>
              <w:gridCol w:w="1178"/>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环境要素</w:t>
                  </w:r>
                </w:p>
              </w:tc>
              <w:tc>
                <w:tcPr>
                  <w:tcW w:w="623"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环境保护对象名称</w:t>
                  </w:r>
                </w:p>
              </w:tc>
              <w:tc>
                <w:tcPr>
                  <w:tcW w:w="890"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相对项目的方位和最近距离</w:t>
                  </w:r>
                </w:p>
              </w:tc>
              <w:tc>
                <w:tcPr>
                  <w:tcW w:w="722"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目标规模</w:t>
                  </w:r>
                </w:p>
              </w:tc>
              <w:tc>
                <w:tcPr>
                  <w:tcW w:w="1868"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环境空气</w:t>
                  </w:r>
                </w:p>
              </w:tc>
              <w:tc>
                <w:tcPr>
                  <w:tcW w:w="623"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富民官庄村</w:t>
                  </w:r>
                </w:p>
              </w:tc>
              <w:tc>
                <w:tcPr>
                  <w:tcW w:w="890"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西北侧334m</w:t>
                  </w:r>
                </w:p>
              </w:tc>
              <w:tc>
                <w:tcPr>
                  <w:tcW w:w="722"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1700人</w:t>
                  </w:r>
                </w:p>
              </w:tc>
              <w:tc>
                <w:tcPr>
                  <w:tcW w:w="1868"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声环境</w:t>
                  </w:r>
                </w:p>
              </w:tc>
              <w:tc>
                <w:tcPr>
                  <w:tcW w:w="4103" w:type="pct"/>
                  <w:gridSpan w:val="4"/>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项目厂界外50米内不存在声环境保护目标。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地下水</w:t>
                  </w:r>
                </w:p>
              </w:tc>
              <w:tc>
                <w:tcPr>
                  <w:tcW w:w="4103" w:type="pct"/>
                  <w:gridSpan w:val="4"/>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项目厂界外500米范围内不含地下水集中式饮用水水源和热水、矿泉水、温泉等特殊地下水资源。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7" w:type="pct"/>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w:t>
                  </w:r>
                </w:p>
              </w:tc>
              <w:tc>
                <w:tcPr>
                  <w:tcW w:w="4103" w:type="pct"/>
                  <w:gridSpan w:val="4"/>
                  <w:shd w:val="clear" w:color="auto" w:fill="auto"/>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项目用地范围内不含各类生态环境保护目标</w:t>
                  </w:r>
                </w:p>
              </w:tc>
            </w:tr>
          </w:tbl>
          <w:p>
            <w:pPr>
              <w:adjustRightInd w:val="0"/>
              <w:snapToGrid w:val="0"/>
              <w:spacing w:line="500" w:lineRule="exact"/>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14"/>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污染物排放控制标准</w:t>
            </w:r>
          </w:p>
        </w:tc>
        <w:tc>
          <w:tcPr>
            <w:tcW w:w="8386" w:type="dxa"/>
            <w:shd w:val="clear" w:color="auto" w:fill="auto"/>
          </w:tcPr>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2998"/>
              <w:gridCol w:w="1004"/>
              <w:gridCol w:w="3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shd w:val="clear" w:color="auto" w:fill="auto"/>
                  <w:vAlign w:val="center"/>
                </w:tcPr>
                <w:p>
                  <w:pPr>
                    <w:pStyle w:val="14"/>
                    <w:spacing w:before="0" w:beforeAutospacing="0" w:after="0" w:afterAutospacing="0"/>
                    <w:jc w:val="center"/>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污染类型</w:t>
                  </w:r>
                </w:p>
              </w:tc>
              <w:tc>
                <w:tcPr>
                  <w:tcW w:w="1837" w:type="pc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标准名称及级别</w:t>
                  </w:r>
                </w:p>
              </w:tc>
              <w:tc>
                <w:tcPr>
                  <w:tcW w:w="615" w:type="pc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污染因子</w:t>
                  </w:r>
                </w:p>
              </w:tc>
              <w:tc>
                <w:tcPr>
                  <w:tcW w:w="2279" w:type="pc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restart"/>
                  <w:shd w:val="clear" w:color="auto" w:fill="auto"/>
                  <w:vAlign w:val="center"/>
                </w:tcPr>
                <w:p>
                  <w:pPr>
                    <w:pStyle w:val="14"/>
                    <w:spacing w:before="0" w:after="0"/>
                    <w:jc w:val="center"/>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废气</w:t>
                  </w:r>
                </w:p>
              </w:tc>
              <w:tc>
                <w:tcPr>
                  <w:tcW w:w="1837" w:type="pc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《水泥工业大气污染物排放标准》</w:t>
                  </w:r>
                </w:p>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（DB/411953-2020）</w:t>
                  </w:r>
                </w:p>
              </w:tc>
              <w:tc>
                <w:tcPr>
                  <w:tcW w:w="615" w:type="pc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279"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有组织10mg/m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；无组织0.5mg/m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continue"/>
                  <w:shd w:val="clear" w:color="auto" w:fill="auto"/>
                  <w:vAlign w:val="center"/>
                </w:tcPr>
                <w:p>
                  <w:pPr>
                    <w:pStyle w:val="14"/>
                    <w:spacing w:before="0" w:after="0"/>
                    <w:jc w:val="center"/>
                    <w:outlineLvl w:val="0"/>
                    <w:rPr>
                      <w:rFonts w:ascii="Times New Roman" w:hAnsi="Times New Roman"/>
                      <w:snapToGrid w:val="0"/>
                      <w:color w:val="000000" w:themeColor="text1"/>
                      <w:sz w:val="21"/>
                      <w:szCs w:val="21"/>
                      <w14:textFill>
                        <w14:solidFill>
                          <w14:schemeClr w14:val="tx1"/>
                        </w14:solidFill>
                      </w14:textFill>
                    </w:rPr>
                  </w:pPr>
                </w:p>
              </w:tc>
              <w:tc>
                <w:tcPr>
                  <w:tcW w:w="1837" w:type="pct"/>
                  <w:vMerge w:val="restart"/>
                  <w:shd w:val="clear" w:color="auto" w:fill="auto"/>
                  <w:vAlign w:val="center"/>
                </w:tcPr>
                <w:p>
                  <w:pPr>
                    <w:pStyle w:val="3"/>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《锅炉大气污染物排放标准》（DB41/2089-2021）</w:t>
                  </w:r>
                </w:p>
              </w:tc>
              <w:tc>
                <w:tcPr>
                  <w:tcW w:w="615" w:type="pct"/>
                  <w:shd w:val="clear" w:color="auto" w:fill="auto"/>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279" w:type="pct"/>
                  <w:shd w:val="clear" w:color="auto" w:fill="auto"/>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有组织5mg/m</w:t>
                  </w:r>
                  <w:r>
                    <w:rPr>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shd w:val="clear" w:color="auto" w:fill="auto"/>
                  <w:vAlign w:val="center"/>
                </w:tcPr>
                <w:p>
                  <w:pPr>
                    <w:pStyle w:val="14"/>
                    <w:spacing w:before="0" w:after="0"/>
                    <w:jc w:val="center"/>
                    <w:outlineLvl w:val="0"/>
                    <w:rPr>
                      <w:rFonts w:ascii="Times New Roman" w:hAnsi="Times New Roman"/>
                      <w:snapToGrid w:val="0"/>
                      <w:color w:val="000000" w:themeColor="text1"/>
                      <w:sz w:val="21"/>
                      <w:szCs w:val="21"/>
                      <w14:textFill>
                        <w14:solidFill>
                          <w14:schemeClr w14:val="tx1"/>
                        </w14:solidFill>
                      </w14:textFill>
                    </w:rPr>
                  </w:pPr>
                </w:p>
              </w:tc>
              <w:tc>
                <w:tcPr>
                  <w:tcW w:w="1837" w:type="pct"/>
                  <w:vMerge w:val="continue"/>
                  <w:shd w:val="clear" w:color="auto" w:fill="auto"/>
                  <w:vAlign w:val="center"/>
                </w:tcPr>
                <w:p>
                  <w:pPr>
                    <w:pStyle w:val="3"/>
                    <w:jc w:val="center"/>
                    <w:rPr>
                      <w:color w:val="000000" w:themeColor="text1"/>
                      <w:kern w:val="0"/>
                      <w:sz w:val="21"/>
                      <w:szCs w:val="21"/>
                      <w14:textFill>
                        <w14:solidFill>
                          <w14:schemeClr w14:val="tx1"/>
                        </w14:solidFill>
                      </w14:textFill>
                    </w:rPr>
                  </w:pPr>
                </w:p>
              </w:tc>
              <w:tc>
                <w:tcPr>
                  <w:tcW w:w="615" w:type="pct"/>
                  <w:shd w:val="clear" w:color="auto" w:fill="auto"/>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2279" w:type="pct"/>
                  <w:shd w:val="clear" w:color="auto" w:fill="auto"/>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有组织排放浓度限值 10mg/m</w:t>
                  </w:r>
                  <w:r>
                    <w:rPr>
                      <w:color w:val="000000" w:themeColor="text1"/>
                      <w:vertAlign w:val="superscript"/>
                      <w14:textFill>
                        <w14:solidFill>
                          <w14:schemeClr w14:val="tx1"/>
                        </w14:solidFill>
                      </w14:textFill>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shd w:val="clear" w:color="auto" w:fill="auto"/>
                  <w:vAlign w:val="center"/>
                </w:tcPr>
                <w:p>
                  <w:pPr>
                    <w:pStyle w:val="14"/>
                    <w:spacing w:before="0" w:after="0"/>
                    <w:jc w:val="center"/>
                    <w:outlineLvl w:val="0"/>
                    <w:rPr>
                      <w:rFonts w:ascii="Times New Roman" w:hAnsi="Times New Roman"/>
                      <w:snapToGrid w:val="0"/>
                      <w:color w:val="000000" w:themeColor="text1"/>
                      <w:sz w:val="21"/>
                      <w:szCs w:val="21"/>
                      <w14:textFill>
                        <w14:solidFill>
                          <w14:schemeClr w14:val="tx1"/>
                        </w14:solidFill>
                      </w14:textFill>
                    </w:rPr>
                  </w:pPr>
                </w:p>
              </w:tc>
              <w:tc>
                <w:tcPr>
                  <w:tcW w:w="1837" w:type="pct"/>
                  <w:vMerge w:val="continue"/>
                  <w:shd w:val="clear" w:color="auto" w:fill="auto"/>
                  <w:vAlign w:val="center"/>
                </w:tcPr>
                <w:p>
                  <w:pPr>
                    <w:pStyle w:val="3"/>
                    <w:jc w:val="center"/>
                    <w:rPr>
                      <w:color w:val="000000" w:themeColor="text1"/>
                      <w:kern w:val="0"/>
                      <w:sz w:val="21"/>
                      <w:szCs w:val="21"/>
                      <w14:textFill>
                        <w14:solidFill>
                          <w14:schemeClr w14:val="tx1"/>
                        </w14:solidFill>
                      </w14:textFill>
                    </w:rPr>
                  </w:pPr>
                </w:p>
              </w:tc>
              <w:tc>
                <w:tcPr>
                  <w:tcW w:w="615" w:type="pct"/>
                  <w:shd w:val="clear" w:color="auto" w:fill="auto"/>
                </w:tcPr>
                <w:p>
                  <w:pPr>
                    <w:pStyle w:val="3"/>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2279" w:type="pct"/>
                  <w:shd w:val="clear" w:color="auto" w:fill="auto"/>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有组织排放浓度限值30mg/m</w:t>
                  </w:r>
                  <w:r>
                    <w:rPr>
                      <w:color w:val="000000" w:themeColor="text1"/>
                      <w:szCs w:val="21"/>
                      <w:vertAlign w:val="superscript"/>
                      <w14:textFill>
                        <w14:solidFill>
                          <w14:schemeClr w14:val="tx1"/>
                        </w14:solidFill>
                      </w14:textFill>
                    </w:rPr>
                    <w:t xml:space="preserv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shd w:val="clear" w:color="auto" w:fill="auto"/>
                  <w:vAlign w:val="center"/>
                </w:tcPr>
                <w:p>
                  <w:pPr>
                    <w:pStyle w:val="14"/>
                    <w:spacing w:before="0" w:beforeAutospacing="0" w:after="0" w:afterAutospacing="0"/>
                    <w:jc w:val="center"/>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噪声</w:t>
                  </w:r>
                </w:p>
              </w:tc>
              <w:tc>
                <w:tcPr>
                  <w:tcW w:w="1837" w:type="pct"/>
                  <w:shd w:val="clear" w:color="auto" w:fill="auto"/>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《工业企业厂界环境噪声排放标准》（</w:t>
                  </w:r>
                  <w:r>
                    <w:rPr>
                      <w:color w:val="000000" w:themeColor="text1"/>
                      <w:szCs w:val="21"/>
                      <w14:textFill>
                        <w14:solidFill>
                          <w14:schemeClr w14:val="tx1"/>
                        </w14:solidFill>
                      </w14:textFill>
                    </w:rPr>
                    <w:t>GB12348-2008</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2类</w:t>
                  </w:r>
                </w:p>
              </w:tc>
              <w:tc>
                <w:tcPr>
                  <w:tcW w:w="615"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279"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昼间≤60dB(A)，夜间≤50dB(A)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restart"/>
                  <w:shd w:val="clear" w:color="auto" w:fill="auto"/>
                  <w:vAlign w:val="center"/>
                </w:tcPr>
                <w:p>
                  <w:pPr>
                    <w:pStyle w:val="14"/>
                    <w:spacing w:before="0" w:beforeAutospacing="0" w:after="0" w:afterAutospacing="0"/>
                    <w:jc w:val="center"/>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固废</w:t>
                  </w:r>
                </w:p>
              </w:tc>
              <w:tc>
                <w:tcPr>
                  <w:tcW w:w="4731" w:type="pct"/>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continue"/>
                  <w:shd w:val="clear" w:color="auto" w:fill="auto"/>
                  <w:vAlign w:val="center"/>
                </w:tcPr>
                <w:p>
                  <w:pPr>
                    <w:pStyle w:val="14"/>
                    <w:spacing w:before="0" w:beforeAutospacing="0" w:after="0" w:afterAutospacing="0"/>
                    <w:jc w:val="center"/>
                    <w:outlineLvl w:val="0"/>
                    <w:rPr>
                      <w:rFonts w:ascii="Times New Roman" w:hAnsi="Times New Roman"/>
                      <w:snapToGrid w:val="0"/>
                      <w:color w:val="000000" w:themeColor="text1"/>
                      <w:sz w:val="21"/>
                      <w:szCs w:val="21"/>
                      <w14:textFill>
                        <w14:solidFill>
                          <w14:schemeClr w14:val="tx1"/>
                        </w14:solidFill>
                      </w14:textFill>
                    </w:rPr>
                  </w:pPr>
                </w:p>
              </w:tc>
              <w:tc>
                <w:tcPr>
                  <w:tcW w:w="4731" w:type="pct"/>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《危险废物贮存污染控制标准》（GB18597-2001）及2013年修改单中的有关规定</w:t>
                  </w:r>
                </w:p>
              </w:tc>
            </w:tr>
          </w:tbl>
          <w:p>
            <w:pPr>
              <w:pStyle w:val="14"/>
              <w:spacing w:before="0" w:beforeAutospacing="0" w:after="0" w:afterAutospacing="0" w:line="520" w:lineRule="exact"/>
              <w:ind w:firstLine="422"/>
              <w:jc w:val="both"/>
              <w:outlineLvl w:val="0"/>
              <w:rPr>
                <w:rFonts w:ascii="Times New Roman" w:hAnsi="Times New Roman"/>
                <w:b/>
                <w:bCs/>
                <w:snapToGrid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trPr>
        <w:tc>
          <w:tcPr>
            <w:tcW w:w="675" w:type="dxa"/>
            <w:vAlign w:val="center"/>
          </w:tcPr>
          <w:p>
            <w:pPr>
              <w:jc w:val="center"/>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总量控制指标</w:t>
            </w:r>
          </w:p>
        </w:tc>
        <w:tc>
          <w:tcPr>
            <w:tcW w:w="8386" w:type="dxa"/>
            <w:shd w:val="clear" w:color="auto" w:fill="auto"/>
            <w:vAlign w:val="center"/>
          </w:tcPr>
          <w:p>
            <w:pPr>
              <w:spacing w:line="520" w:lineRule="exact"/>
              <w:ind w:firstLine="480" w:firstLineChars="200"/>
              <w:textAlignment w:val="baseline"/>
              <w:rPr>
                <w:color w:val="000000" w:themeColor="text1"/>
                <w:kern w:val="0"/>
                <w:sz w:val="24"/>
                <w14:textFill>
                  <w14:solidFill>
                    <w14:schemeClr w14:val="tx1"/>
                  </w14:solidFill>
                </w14:textFill>
              </w:rPr>
            </w:pPr>
            <w:r>
              <w:rPr>
                <w:color w:val="000000" w:themeColor="text1"/>
                <w:position w:val="1"/>
                <w:sz w:val="24"/>
                <w14:textFill>
                  <w14:solidFill>
                    <w14:schemeClr w14:val="tx1"/>
                  </w14:solidFill>
                </w14:textFill>
              </w:rPr>
              <w:t>大气污染物总量控制指标为：颗粒物：1.2048t/a</w:t>
            </w:r>
            <w:r>
              <w:rPr>
                <w:rFonts w:hint="eastAsia"/>
                <w:color w:val="000000" w:themeColor="text1"/>
                <w:position w:val="1"/>
                <w:sz w:val="24"/>
                <w14:textFill>
                  <w14:solidFill>
                    <w14:schemeClr w14:val="tx1"/>
                  </w14:solidFill>
                </w14:textFill>
              </w:rPr>
              <w:t>（有组织0</w:t>
            </w:r>
            <w:r>
              <w:rPr>
                <w:color w:val="000000" w:themeColor="text1"/>
                <w:position w:val="1"/>
                <w:sz w:val="24"/>
                <w14:textFill>
                  <w14:solidFill>
                    <w14:schemeClr w14:val="tx1"/>
                  </w14:solidFill>
                </w14:textFill>
              </w:rPr>
              <w:t>.9717t/a</w:t>
            </w:r>
            <w:r>
              <w:rPr>
                <w:rFonts w:hint="eastAsia"/>
                <w:color w:val="000000" w:themeColor="text1"/>
                <w:position w:val="1"/>
                <w:sz w:val="24"/>
                <w14:textFill>
                  <w14:solidFill>
                    <w14:schemeClr w14:val="tx1"/>
                  </w14:solidFill>
                </w14:textFill>
              </w:rPr>
              <w:t>，无组织：0</w:t>
            </w:r>
            <w:r>
              <w:rPr>
                <w:color w:val="000000" w:themeColor="text1"/>
                <w:position w:val="1"/>
                <w:sz w:val="24"/>
                <w14:textFill>
                  <w14:solidFill>
                    <w14:schemeClr w14:val="tx1"/>
                  </w14:solidFill>
                </w14:textFill>
              </w:rPr>
              <w:t>.2331t/a</w:t>
            </w:r>
            <w:r>
              <w:rPr>
                <w:rFonts w:hint="eastAsia"/>
                <w:color w:val="000000" w:themeColor="text1"/>
                <w:position w:val="1"/>
                <w:sz w:val="24"/>
                <w14:textFill>
                  <w14:solidFill>
                    <w14:schemeClr w14:val="tx1"/>
                  </w14:solidFill>
                </w14:textFill>
              </w:rPr>
              <w:t>）</w:t>
            </w:r>
            <w:r>
              <w:rPr>
                <w:color w:val="000000" w:themeColor="text1"/>
                <w:position w:val="1"/>
                <w:sz w:val="24"/>
                <w14:textFill>
                  <w14:solidFill>
                    <w14:schemeClr w14:val="tx1"/>
                  </w14:solidFill>
                </w14:textFill>
              </w:rPr>
              <w:t>、</w:t>
            </w:r>
            <w:r>
              <w:rPr>
                <w:color w:val="000000" w:themeColor="text1"/>
                <w:kern w:val="0"/>
                <w:sz w:val="24"/>
                <w14:textFill>
                  <w14:solidFill>
                    <w14:schemeClr w14:val="tx1"/>
                  </w14:solidFill>
                </w14:textFill>
              </w:rPr>
              <w:t>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：0.0336t/a、NOx：0.2545t/a。</w:t>
            </w:r>
          </w:p>
          <w:p>
            <w:pPr>
              <w:spacing w:line="520" w:lineRule="exact"/>
              <w:ind w:firstLine="480" w:firstLineChars="200"/>
              <w:textAlignment w:val="baseline"/>
              <w:rPr>
                <w:color w:val="000000" w:themeColor="text1"/>
                <w:position w:val="1"/>
                <w:sz w:val="24"/>
                <w14:textFill>
                  <w14:solidFill>
                    <w14:schemeClr w14:val="tx1"/>
                  </w14:solidFill>
                </w14:textFill>
              </w:rPr>
            </w:pPr>
            <w:r>
              <w:rPr>
                <w:rFonts w:hint="eastAsia"/>
                <w:color w:val="000000" w:themeColor="text1"/>
                <w:position w:val="1"/>
                <w:sz w:val="24"/>
                <w14:textFill>
                  <w14:solidFill>
                    <w14:schemeClr w14:val="tx1"/>
                  </w14:solidFill>
                </w14:textFill>
              </w:rPr>
              <w:t>本项目污染物排放量采取双倍替代方式，总量替代方案：项目颗粒物从获嘉县华夏建材有限公司企业注销产生的减排量剩余量中扣除2</w:t>
            </w:r>
            <w:r>
              <w:rPr>
                <w:color w:val="000000" w:themeColor="text1"/>
                <w:position w:val="1"/>
                <w:sz w:val="24"/>
                <w14:textFill>
                  <w14:solidFill>
                    <w14:schemeClr w14:val="tx1"/>
                  </w14:solidFill>
                </w14:textFill>
              </w:rPr>
              <w:t>.4096t/a</w:t>
            </w:r>
            <w:r>
              <w:rPr>
                <w:rFonts w:hint="eastAsia"/>
                <w:color w:val="000000" w:themeColor="text1"/>
                <w:position w:val="1"/>
                <w:sz w:val="24"/>
                <w14:textFill>
                  <w14:solidFill>
                    <w14:schemeClr w14:val="tx1"/>
                  </w14:solidFill>
                </w14:textFill>
              </w:rPr>
              <w:t>，</w:t>
            </w:r>
            <w:r>
              <w:rPr>
                <w:color w:val="000000" w:themeColor="text1"/>
                <w:position w:val="1"/>
                <w:sz w:val="24"/>
                <w14:textFill>
                  <w14:solidFill>
                    <w14:schemeClr w14:val="tx1"/>
                  </w14:solidFill>
                </w14:textFill>
              </w:rPr>
              <w:t>SO</w:t>
            </w:r>
            <w:r>
              <w:rPr>
                <w:color w:val="000000" w:themeColor="text1"/>
                <w:position w:val="1"/>
                <w:sz w:val="24"/>
                <w:vertAlign w:val="subscript"/>
                <w14:textFill>
                  <w14:solidFill>
                    <w14:schemeClr w14:val="tx1"/>
                  </w14:solidFill>
                </w14:textFill>
              </w:rPr>
              <w:t>2</w:t>
            </w:r>
            <w:r>
              <w:rPr>
                <w:rFonts w:hint="eastAsia"/>
                <w:color w:val="000000" w:themeColor="text1"/>
                <w:position w:val="1"/>
                <w:sz w:val="24"/>
                <w14:textFill>
                  <w14:solidFill>
                    <w14:schemeClr w14:val="tx1"/>
                  </w14:solidFill>
                </w14:textFill>
              </w:rPr>
              <w:t>从获嘉县华夏建材有限公司企业注销产生的减排量中扣除0</w:t>
            </w:r>
            <w:r>
              <w:rPr>
                <w:color w:val="000000" w:themeColor="text1"/>
                <w:position w:val="1"/>
                <w:sz w:val="24"/>
                <w14:textFill>
                  <w14:solidFill>
                    <w14:schemeClr w14:val="tx1"/>
                  </w14:solidFill>
                </w14:textFill>
              </w:rPr>
              <w:t>.0672t/a</w:t>
            </w:r>
            <w:r>
              <w:rPr>
                <w:rFonts w:hint="eastAsia"/>
                <w:color w:val="000000" w:themeColor="text1"/>
                <w:position w:val="1"/>
                <w:sz w:val="24"/>
                <w14:textFill>
                  <w14:solidFill>
                    <w14:schemeClr w14:val="tx1"/>
                  </w14:solidFill>
                </w14:textFill>
              </w:rPr>
              <w:t>，</w:t>
            </w:r>
            <w:r>
              <w:rPr>
                <w:color w:val="000000" w:themeColor="text1"/>
                <w:kern w:val="0"/>
                <w:sz w:val="24"/>
                <w14:textFill>
                  <w14:solidFill>
                    <w14:schemeClr w14:val="tx1"/>
                  </w14:solidFill>
                </w14:textFill>
              </w:rPr>
              <w:t>NOx</w:t>
            </w:r>
            <w:r>
              <w:rPr>
                <w:rFonts w:hint="eastAsia"/>
                <w:color w:val="000000" w:themeColor="text1"/>
                <w:kern w:val="0"/>
                <w:sz w:val="24"/>
                <w14:textFill>
                  <w14:solidFill>
                    <w14:schemeClr w14:val="tx1"/>
                  </w14:solidFill>
                </w14:textFill>
              </w:rPr>
              <w:t>从获嘉县华夏建材有限公司企业注销产生的减排量中扣除0</w:t>
            </w:r>
            <w:r>
              <w:rPr>
                <w:color w:val="000000" w:themeColor="text1"/>
                <w:kern w:val="0"/>
                <w:sz w:val="24"/>
                <w14:textFill>
                  <w14:solidFill>
                    <w14:schemeClr w14:val="tx1"/>
                  </w14:solidFill>
                </w14:textFill>
              </w:rPr>
              <w:t>.5090t/a</w:t>
            </w:r>
            <w:r>
              <w:rPr>
                <w:rFonts w:hint="eastAsia"/>
                <w:color w:val="000000" w:themeColor="text1"/>
                <w:kern w:val="0"/>
                <w:sz w:val="24"/>
                <w14:textFill>
                  <w14:solidFill>
                    <w14:schemeClr w14:val="tx1"/>
                  </w14:solidFill>
                </w14:textFill>
              </w:rPr>
              <w:t>。</w:t>
            </w:r>
          </w:p>
          <w:p>
            <w:pPr>
              <w:spacing w:line="520" w:lineRule="exact"/>
              <w:ind w:firstLine="480" w:firstLineChars="200"/>
              <w:textAlignment w:val="baseline"/>
              <w:rPr>
                <w:color w:val="000000" w:themeColor="text1"/>
                <w:position w:val="1"/>
                <w:sz w:val="24"/>
                <w14:textFill>
                  <w14:solidFill>
                    <w14:schemeClr w14:val="tx1"/>
                  </w14:solidFill>
                </w14:textFill>
              </w:rPr>
            </w:pPr>
            <w:r>
              <w:rPr>
                <w:color w:val="000000" w:themeColor="text1"/>
                <w:position w:val="1"/>
                <w:sz w:val="24"/>
                <w14:textFill>
                  <w14:solidFill>
                    <w14:schemeClr w14:val="tx1"/>
                  </w14:solidFill>
                </w14:textFill>
              </w:rPr>
              <w:t>本项目无需开展专项评价。</w:t>
            </w:r>
          </w:p>
        </w:tc>
      </w:tr>
    </w:tbl>
    <w:p>
      <w:pPr>
        <w:pStyle w:val="14"/>
        <w:spacing w:before="0" w:beforeAutospacing="0" w:after="0" w:afterAutospacing="0" w:line="520" w:lineRule="exact"/>
        <w:ind w:firstLine="7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6"/>
          <w:szCs w:val="36"/>
          <w14:textFill>
            <w14:solidFill>
              <w14:schemeClr w14:val="tx1"/>
            </w14:solidFill>
          </w14:textFill>
        </w:rPr>
        <w:br w:type="page"/>
      </w:r>
      <w:r>
        <w:rPr>
          <w:rFonts w:ascii="Times New Roman" w:hAnsi="Times New Roman"/>
          <w:snapToGrid w:val="0"/>
          <w:color w:val="000000" w:themeColor="text1"/>
          <w:sz w:val="30"/>
          <w:szCs w:val="30"/>
          <w14:textFill>
            <w14:solidFill>
              <w14:schemeClr w14:val="tx1"/>
            </w14:solidFill>
          </w14:textFill>
        </w:rPr>
        <w:t>四、主要环境影响和保护措施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14"/>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施工期环境保护措施</w:t>
            </w:r>
          </w:p>
        </w:tc>
        <w:tc>
          <w:tcPr>
            <w:tcW w:w="8386" w:type="dxa"/>
            <w:shd w:val="clear" w:color="auto" w:fill="auto"/>
          </w:tcPr>
          <w:p>
            <w:pPr>
              <w:spacing w:line="52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w:t>
            </w:r>
            <w:r>
              <w:rPr>
                <w:rFonts w:hint="eastAsia"/>
                <w:b/>
                <w:bCs/>
                <w:color w:val="000000" w:themeColor="text1"/>
                <w:kern w:val="0"/>
                <w:sz w:val="24"/>
                <w14:textFill>
                  <w14:solidFill>
                    <w14:schemeClr w14:val="tx1"/>
                  </w14:solidFill>
                </w14:textFill>
              </w:rPr>
              <w:t>施工期</w:t>
            </w:r>
            <w:r>
              <w:rPr>
                <w:b/>
                <w:bCs/>
                <w:color w:val="000000" w:themeColor="text1"/>
                <w:kern w:val="0"/>
                <w:sz w:val="24"/>
                <w14:textFill>
                  <w14:solidFill>
                    <w14:schemeClr w14:val="tx1"/>
                  </w14:solidFill>
                </w14:textFill>
              </w:rPr>
              <w:t>大气环境</w:t>
            </w:r>
            <w:r>
              <w:rPr>
                <w:rFonts w:hint="eastAsia"/>
                <w:b/>
                <w:bCs/>
                <w:color w:val="000000" w:themeColor="text1"/>
                <w:kern w:val="0"/>
                <w:sz w:val="24"/>
                <w14:textFill>
                  <w14:solidFill>
                    <w14:schemeClr w14:val="tx1"/>
                  </w14:solidFill>
                </w14:textFill>
              </w:rPr>
              <w:t>保护措施</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施工期的大气污染主要由施工设备和运输车辆产生，表现形式主要为施工扬尘，也有少量的汽车尾气。</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建议施工时应遵照建设部的有关施工规范，在工地边界设置一定高度的围墙，定期喷水淋湿，工地建筑结构施工架外侧设置有效抑尘的防尘网或防尘布，并加强施工管理；合理的安排施工时间，应尽量节省原土压实、基层铺设等扬尘产生量比较大的施工工序时间；加强运输管理，车辆加盖顶棚，并经常对道路洒水降尘，减少扬尘污染；施工期应禁止随意堆弃建筑垃圾，尤其禁止丢弃在建筑区以外。经采取这些措施后，施工扬尘对大气环境影响较小。</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机械和运输车辆产生的汽车尾气对施工现场及运输路线两侧区域的大气环境有一定影响，但是这些污染物产生量少，评价建议增加施工机械和运输车辆正常运行的时间，减少其怠速、减速、慢速行驶的时间，再加上大气的稀释和自然扩散作用，因此其对大气环境的影响不大。</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按照《新乡市环境污染防治攻坚指挥部办公室关于印发新乡市2022年大气、水、土壤污染防治攻坚战及农业农村污染治理攻坚战实施方案的通知》（新环攻坚办[2022]60号）和《新乡市大气污染防治条例》第二十五条的相关要求：</w:t>
            </w:r>
            <w:r>
              <w:rPr>
                <w:rFonts w:hint="eastAsia" w:ascii="宋体" w:hAnsi="宋体" w:cs="宋体"/>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建设项目开工前，在施工现场周边设置硬质围挡并进行维护；暂未开工的建设用地，对裸露地面进行覆盖；超过三个月未开工的，应当采取绿化、铺装或者遮盖等防尘措施；</w:t>
            </w:r>
            <w:r>
              <w:rPr>
                <w:rFonts w:hint="eastAsia" w:ascii="宋体" w:hAnsi="宋体" w:cs="宋体"/>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在施工现场出入口公示施工现场负责人、环保网格监督员、扬尘污染控制措施、举报电话、举报微信公众号等信息；</w:t>
            </w:r>
            <w:r>
              <w:rPr>
                <w:rFonts w:hint="eastAsia" w:ascii="宋体" w:hAnsi="宋体" w:cs="宋体"/>
                <w:color w:val="000000" w:themeColor="text1"/>
                <w:kern w:val="0"/>
                <w:sz w:val="24"/>
                <w14:textFill>
                  <w14:solidFill>
                    <w14:schemeClr w14:val="tx1"/>
                  </w14:solidFill>
                </w14:textFill>
              </w:rPr>
              <w:t>③</w:t>
            </w:r>
            <w:r>
              <w:rPr>
                <w:color w:val="000000" w:themeColor="text1"/>
                <w:kern w:val="0"/>
                <w:sz w:val="24"/>
                <w14:textFill>
                  <w14:solidFill>
                    <w14:schemeClr w14:val="tx1"/>
                  </w14:solidFill>
                </w14:textFill>
              </w:rPr>
              <w:t>在施工现场出口处设置车辆冲洗设施并配套设置排水、泥浆沉淀设施，施工车辆不得带泥上路行驶，施工现场道路及进出口周边道路不得有泥土和建筑垃圾；</w:t>
            </w:r>
            <w:r>
              <w:rPr>
                <w:rFonts w:hint="eastAsia" w:ascii="宋体" w:hAnsi="宋体" w:cs="宋体"/>
                <w:color w:val="000000" w:themeColor="text1"/>
                <w:kern w:val="0"/>
                <w:sz w:val="24"/>
                <w14:textFill>
                  <w14:solidFill>
                    <w14:schemeClr w14:val="tx1"/>
                  </w14:solidFill>
                </w14:textFill>
              </w:rPr>
              <w:t>④</w:t>
            </w:r>
            <w:r>
              <w:rPr>
                <w:color w:val="000000" w:themeColor="text1"/>
                <w:kern w:val="0"/>
                <w:sz w:val="24"/>
                <w14:textFill>
                  <w14:solidFill>
                    <w14:schemeClr w14:val="tx1"/>
                  </w14:solidFill>
                </w14:textFill>
              </w:rPr>
              <w:t>施工现场出入口、主要道路、加工区等采取硬化处理措施，确因生态和耕种等原因不能硬化的，应当采取其他有效抑尘措施；</w:t>
            </w:r>
            <w:r>
              <w:rPr>
                <w:rFonts w:hint="eastAsia" w:ascii="宋体" w:hAnsi="宋体" w:cs="宋体"/>
                <w:color w:val="000000" w:themeColor="text1"/>
                <w:kern w:val="0"/>
                <w:sz w:val="24"/>
                <w14:textFill>
                  <w14:solidFill>
                    <w14:schemeClr w14:val="tx1"/>
                  </w14:solidFill>
                </w14:textFill>
              </w:rPr>
              <w:t>⑤</w:t>
            </w:r>
            <w:r>
              <w:rPr>
                <w:color w:val="000000" w:themeColor="text1"/>
                <w:kern w:val="0"/>
                <w:sz w:val="24"/>
                <w14:textFill>
                  <w14:solidFill>
                    <w14:schemeClr w14:val="tx1"/>
                  </w14:solidFill>
                </w14:textFill>
              </w:rPr>
              <w:t>施工场地堆放水泥、灰土、砂石、建筑垃圾、工程渣土、建筑土方等易产生扬尘污染物料的，应当采取遮盖、密闭或者其他抑尘措施；建筑垃圾应当及时清运，不得无许可证清运和随意倾倒；</w:t>
            </w:r>
            <w:r>
              <w:rPr>
                <w:rFonts w:hint="eastAsia" w:ascii="宋体" w:hAnsi="宋体" w:cs="宋体"/>
                <w:color w:val="000000" w:themeColor="text1"/>
                <w:kern w:val="0"/>
                <w:sz w:val="24"/>
                <w14:textFill>
                  <w14:solidFill>
                    <w14:schemeClr w14:val="tx1"/>
                  </w14:solidFill>
                </w14:textFill>
              </w:rPr>
              <w:t>⑥</w:t>
            </w:r>
            <w:r>
              <w:rPr>
                <w:color w:val="000000" w:themeColor="text1"/>
                <w:kern w:val="0"/>
                <w:sz w:val="24"/>
                <w14:textFill>
                  <w14:solidFill>
                    <w14:schemeClr w14:val="tx1"/>
                  </w14:solidFill>
                </w14:textFill>
              </w:rPr>
              <w:t>禁止在施工工地现场搅拌混凝土和砂浆；</w:t>
            </w:r>
            <w:r>
              <w:rPr>
                <w:rFonts w:hint="eastAsia" w:ascii="宋体" w:hAnsi="宋体" w:cs="宋体"/>
                <w:color w:val="000000" w:themeColor="text1"/>
                <w:kern w:val="0"/>
                <w:sz w:val="24"/>
                <w14:textFill>
                  <w14:solidFill>
                    <w14:schemeClr w14:val="tx1"/>
                  </w14:solidFill>
                </w14:textFill>
              </w:rPr>
              <w:t>⑦</w:t>
            </w:r>
            <w:r>
              <w:rPr>
                <w:color w:val="000000" w:themeColor="text1"/>
                <w:kern w:val="0"/>
                <w:sz w:val="24"/>
                <w14:textFill>
                  <w14:solidFill>
                    <w14:schemeClr w14:val="tx1"/>
                  </w14:solidFill>
                </w14:textFill>
              </w:rPr>
              <w:t>施工现场铺贴各类瓷砖、石板材等装饰块件的，禁止采用干式方法切割；</w:t>
            </w:r>
            <w:r>
              <w:rPr>
                <w:rFonts w:hint="eastAsia" w:ascii="宋体" w:hAnsi="宋体" w:cs="宋体"/>
                <w:color w:val="000000" w:themeColor="text1"/>
                <w:kern w:val="0"/>
                <w:sz w:val="24"/>
                <w14:textFill>
                  <w14:solidFill>
                    <w14:schemeClr w14:val="tx1"/>
                  </w14:solidFill>
                </w14:textFill>
              </w:rPr>
              <w:t>⑧</w:t>
            </w:r>
            <w:r>
              <w:rPr>
                <w:color w:val="000000" w:themeColor="text1"/>
                <w:kern w:val="0"/>
                <w:sz w:val="24"/>
                <w14:textFill>
                  <w14:solidFill>
                    <w14:schemeClr w14:val="tx1"/>
                  </w14:solidFill>
                </w14:textFill>
              </w:rPr>
              <w:t>规模以上施工工地应当安装在线监测和视频监控，并与当地行业主管部门联网；</w:t>
            </w:r>
            <w:r>
              <w:rPr>
                <w:rFonts w:hint="eastAsia" w:ascii="宋体" w:hAnsi="宋体" w:cs="宋体"/>
                <w:color w:val="000000" w:themeColor="text1"/>
                <w:kern w:val="0"/>
                <w:sz w:val="24"/>
                <w14:textFill>
                  <w14:solidFill>
                    <w14:schemeClr w14:val="tx1"/>
                  </w14:solidFill>
                </w14:textFill>
              </w:rPr>
              <w:t>⑨</w:t>
            </w:r>
            <w:r>
              <w:rPr>
                <w:color w:val="000000" w:themeColor="text1"/>
                <w:kern w:val="0"/>
                <w:sz w:val="24"/>
                <w14:textFill>
                  <w14:solidFill>
                    <w14:schemeClr w14:val="tx1"/>
                  </w14:solidFill>
                </w14:textFill>
              </w:rPr>
              <w:t>加强施工扬尘控制。建立施工工地动态管理清单，全面开展标准化施工，按照“谁施工、谁负责，谁主管、谁监督”的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经采取以上措施后，施工期废气对大气环境影响较小。</w:t>
            </w:r>
          </w:p>
          <w:p>
            <w:pPr>
              <w:spacing w:line="52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w:t>
            </w:r>
            <w:r>
              <w:rPr>
                <w:rFonts w:hint="eastAsia"/>
                <w:b/>
                <w:bCs/>
                <w:color w:val="000000" w:themeColor="text1"/>
                <w:kern w:val="0"/>
                <w:sz w:val="24"/>
                <w14:textFill>
                  <w14:solidFill>
                    <w14:schemeClr w14:val="tx1"/>
                  </w14:solidFill>
                </w14:textFill>
              </w:rPr>
              <w:t>施工期</w:t>
            </w:r>
            <w:r>
              <w:rPr>
                <w:b/>
                <w:bCs/>
                <w:color w:val="000000" w:themeColor="text1"/>
                <w:kern w:val="0"/>
                <w:sz w:val="24"/>
                <w14:textFill>
                  <w14:solidFill>
                    <w14:schemeClr w14:val="tx1"/>
                  </w14:solidFill>
                </w14:textFill>
              </w:rPr>
              <w:t>水环境</w:t>
            </w:r>
            <w:r>
              <w:rPr>
                <w:rFonts w:hint="eastAsia"/>
                <w:b/>
                <w:bCs/>
                <w:color w:val="000000" w:themeColor="text1"/>
                <w:kern w:val="0"/>
                <w:sz w:val="24"/>
                <w14:textFill>
                  <w14:solidFill>
                    <w14:schemeClr w14:val="tx1"/>
                  </w14:solidFill>
                </w14:textFill>
              </w:rPr>
              <w:t>保护措施</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施工期废水主要为建筑工人生活污水，按每人每天20L计，施工人员20人，用水量为0.4m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/d，产污系数按0.8计，则施工期生活污水产生量为0.32m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/d，污水经</w:t>
            </w:r>
            <w:r>
              <w:rPr>
                <w:rFonts w:hint="eastAsia"/>
                <w:color w:val="000000" w:themeColor="text1"/>
                <w:kern w:val="0"/>
                <w:sz w:val="24"/>
                <w14:textFill>
                  <w14:solidFill>
                    <w14:schemeClr w14:val="tx1"/>
                  </w14:solidFill>
                </w14:textFill>
              </w:rPr>
              <w:t>厂区新建</w:t>
            </w:r>
            <w:r>
              <w:rPr>
                <w:color w:val="000000" w:themeColor="text1"/>
                <w:kern w:val="0"/>
                <w:sz w:val="24"/>
                <w14:textFill>
                  <w14:solidFill>
                    <w14:schemeClr w14:val="tx1"/>
                  </w14:solidFill>
                </w14:textFill>
              </w:rPr>
              <w:t>化粪池处理后定期清运，不外排。施工期废水不会对周围地表水环境造成影响。</w:t>
            </w:r>
          </w:p>
          <w:p>
            <w:pPr>
              <w:spacing w:line="52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w:t>
            </w:r>
            <w:r>
              <w:rPr>
                <w:rFonts w:hint="eastAsia"/>
                <w:b/>
                <w:bCs/>
                <w:color w:val="000000" w:themeColor="text1"/>
                <w:kern w:val="0"/>
                <w:sz w:val="24"/>
                <w14:textFill>
                  <w14:solidFill>
                    <w14:schemeClr w14:val="tx1"/>
                  </w14:solidFill>
                </w14:textFill>
              </w:rPr>
              <w:t>施工期</w:t>
            </w:r>
            <w:r>
              <w:rPr>
                <w:b/>
                <w:bCs/>
                <w:color w:val="000000" w:themeColor="text1"/>
                <w:kern w:val="0"/>
                <w:sz w:val="24"/>
                <w14:textFill>
                  <w14:solidFill>
                    <w14:schemeClr w14:val="tx1"/>
                  </w14:solidFill>
                </w14:textFill>
              </w:rPr>
              <w:t>声环境</w:t>
            </w:r>
            <w:r>
              <w:rPr>
                <w:rFonts w:hint="eastAsia"/>
                <w:b/>
                <w:bCs/>
                <w:color w:val="000000" w:themeColor="text1"/>
                <w:kern w:val="0"/>
                <w:sz w:val="24"/>
                <w14:textFill>
                  <w14:solidFill>
                    <w14:schemeClr w14:val="tx1"/>
                  </w14:solidFill>
                </w14:textFill>
              </w:rPr>
              <w:t>保护措施</w:t>
            </w:r>
          </w:p>
          <w:p>
            <w:pPr>
              <w:spacing w:line="520" w:lineRule="exact"/>
              <w:rPr>
                <w:b/>
                <w:bCs/>
                <w:color w:val="000000" w:themeColor="text1"/>
                <w:kern w:val="0"/>
                <w:sz w:val="24"/>
                <w14:textFill>
                  <w14:solidFill>
                    <w14:schemeClr w14:val="tx1"/>
                  </w14:solidFill>
                </w14:textFill>
              </w:rPr>
            </w:pPr>
          </w:p>
          <w:p>
            <w:pPr>
              <w:spacing w:line="520" w:lineRule="exact"/>
              <w:rPr>
                <w:b/>
                <w:bCs/>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本项目建设期的噪声主要来自建筑物建造时各种机械设备运作产生的噪声。为尽量降低施工噪声对周围环境的影响。评价建议施工方采取以下措施：</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（1）在施工期间所用施工机械必须采用具有消声、隔音处理及减振装置的设备，禁止噪声超标机械进入施工现场，加强对施工场地的监督管理，对高噪音设备应采取相应的限时作业； </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（2）优先选择性能良好的高效低噪施工设备。日常应注意对施工设备的维修保养，使各种施工机械保持良好的运行状态，以减少噪声的产生；</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除了工艺要求必须连续作业的施工项目外，其它施工项目严禁在夜间22：00到次日6：00进行。同时合理安排施工人员的作业时间、作业方式，减少接触高噪音的时间，对距离噪声源较近的人员，除采取必要的个人保护措施外，应适当缩短劳动作业时间。</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通过采取以上噪声防治措施后，施工期噪声能够满足《建筑施工场界环境噪声排放标准》（GB12523-2011）（昼间≤70dB(A)，夜间≤55dB(A)）的要求，对周围声环境影响不大，且本项目噪声随着施工期的结束，其影响即消失。</w:t>
            </w:r>
          </w:p>
          <w:p>
            <w:pPr>
              <w:spacing w:line="480" w:lineRule="exac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w:t>
            </w:r>
            <w:r>
              <w:rPr>
                <w:rFonts w:hint="eastAsia"/>
                <w:b/>
                <w:bCs/>
                <w:color w:val="000000" w:themeColor="text1"/>
                <w:kern w:val="0"/>
                <w:sz w:val="24"/>
                <w14:textFill>
                  <w14:solidFill>
                    <w14:schemeClr w14:val="tx1"/>
                  </w14:solidFill>
                </w14:textFill>
              </w:rPr>
              <w:t>施工期</w:t>
            </w:r>
            <w:r>
              <w:rPr>
                <w:b/>
                <w:bCs/>
                <w:color w:val="000000" w:themeColor="text1"/>
                <w:kern w:val="0"/>
                <w:sz w:val="24"/>
                <w14:textFill>
                  <w14:solidFill>
                    <w14:schemeClr w14:val="tx1"/>
                  </w14:solidFill>
                </w14:textFill>
              </w:rPr>
              <w:t>固体废物环境</w:t>
            </w:r>
            <w:r>
              <w:rPr>
                <w:rFonts w:hint="eastAsia"/>
                <w:b/>
                <w:bCs/>
                <w:color w:val="000000" w:themeColor="text1"/>
                <w:kern w:val="0"/>
                <w:sz w:val="24"/>
                <w14:textFill>
                  <w14:solidFill>
                    <w14:schemeClr w14:val="tx1"/>
                  </w14:solidFill>
                </w14:textFill>
              </w:rPr>
              <w:t>保护措施</w:t>
            </w:r>
          </w:p>
          <w:p>
            <w:pPr>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间产生的一般固废主要为建筑废料。建议建设单位将建筑废料分类收集后作为再生砖、再生骨料资源使用，其余部分运到建筑垃圾填埋场处理，不得随意倾倒建筑垃圾、制造新的“垃圾堆场”，否则会对周围环境造成影响。</w:t>
            </w:r>
          </w:p>
          <w:p>
            <w:pPr>
              <w:adjustRightInd w:val="0"/>
              <w:snapToGrid w:val="0"/>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采取以上防治措施后，施工期产生的固体废物对周围环境影响较小。</w:t>
            </w:r>
          </w:p>
          <w:p>
            <w:pPr>
              <w:adjustRightInd w:val="0"/>
              <w:snapToGrid w:val="0"/>
              <w:spacing w:line="520" w:lineRule="exact"/>
              <w:ind w:firstLine="480" w:firstLineChars="200"/>
              <w:rPr>
                <w:color w:val="000000" w:themeColor="text1"/>
                <w:sz w:val="24"/>
                <w14:textFill>
                  <w14:solidFill>
                    <w14:schemeClr w14:val="tx1"/>
                  </w14:solidFill>
                </w14:textFill>
              </w:rPr>
            </w:pPr>
          </w:p>
          <w:p>
            <w:pPr>
              <w:adjustRightInd w:val="0"/>
              <w:snapToGrid w:val="0"/>
              <w:spacing w:line="520" w:lineRule="exact"/>
              <w:ind w:firstLine="480" w:firstLineChars="200"/>
              <w:rPr>
                <w:color w:val="000000" w:themeColor="text1"/>
                <w:sz w:val="24"/>
                <w14:textFill>
                  <w14:solidFill>
                    <w14:schemeClr w14:val="tx1"/>
                  </w14:solidFill>
                </w14:textFill>
              </w:rPr>
            </w:pPr>
          </w:p>
          <w:p>
            <w:pPr>
              <w:adjustRightInd w:val="0"/>
              <w:snapToGrid w:val="0"/>
              <w:spacing w:line="520" w:lineRule="exact"/>
              <w:ind w:firstLine="480" w:firstLineChars="200"/>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8" w:hRule="atLeast"/>
        </w:trPr>
        <w:tc>
          <w:tcPr>
            <w:tcW w:w="675" w:type="dxa"/>
            <w:vAlign w:val="center"/>
          </w:tcPr>
          <w:p>
            <w:pPr>
              <w:adjustRightInd w:val="0"/>
              <w:snapToGrid w:val="0"/>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运营期环境影响和保护措施</w:t>
            </w:r>
          </w:p>
        </w:tc>
        <w:tc>
          <w:tcPr>
            <w:tcW w:w="8386" w:type="dxa"/>
            <w:shd w:val="clear" w:color="auto" w:fill="auto"/>
          </w:tcPr>
          <w:p>
            <w:pPr>
              <w:spacing w:line="520" w:lineRule="exact"/>
              <w:ind w:firstLine="482" w:firstLineChars="200"/>
              <w:jc w:val="both"/>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一、废气排放情况</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本项目运营期产生的废气主要为投料过程产生的粉尘、物料输送过程产生的粉尘、料仓储存产生的粉尘、搅拌过程产生的粉尘、燃气锅炉产生的废气、车辆运输扬尘、物料装卸粉尘。</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项目废气污染源源强核算结果及相关参数一览表如表15所示。 </w:t>
            </w: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根据《排污许可证申请与核发技术规范  石墨及其他非金属矿物制品制造》（HJ1119-2020）要求，并参照《排污单位自行监测技术指南 水泥工业》（HJ848-2017）</w:t>
            </w:r>
            <w:r>
              <w:rPr>
                <w:rFonts w:hint="eastAsia"/>
                <w:color w:val="000000" w:themeColor="text1"/>
                <w:kern w:val="0"/>
                <w:sz w:val="24"/>
                <w14:textFill>
                  <w14:solidFill>
                    <w14:schemeClr w14:val="tx1"/>
                  </w14:solidFill>
                </w14:textFill>
              </w:rPr>
              <w:t>和《排污单位自行监测技术指南 总则》（HJ</w:t>
            </w:r>
            <w:r>
              <w:rPr>
                <w:color w:val="000000" w:themeColor="text1"/>
                <w:kern w:val="0"/>
                <w:sz w:val="24"/>
                <w14:textFill>
                  <w14:solidFill>
                    <w14:schemeClr w14:val="tx1"/>
                  </w14:solidFill>
                </w14:textFill>
              </w:rPr>
              <w:t>819</w:t>
            </w:r>
            <w:r>
              <w:rPr>
                <w:rFonts w:hint="eastAsia"/>
                <w:color w:val="000000" w:themeColor="text1"/>
                <w:kern w:val="0"/>
                <w:sz w:val="24"/>
                <w14:textFill>
                  <w14:solidFill>
                    <w14:schemeClr w14:val="tx1"/>
                  </w14:solidFill>
                </w14:textFill>
              </w:rPr>
              <w:t>-2017）</w:t>
            </w:r>
            <w:r>
              <w:rPr>
                <w:color w:val="000000" w:themeColor="text1"/>
                <w:kern w:val="0"/>
                <w:sz w:val="24"/>
                <w14:textFill>
                  <w14:solidFill>
                    <w14:schemeClr w14:val="tx1"/>
                  </w14:solidFill>
                </w14:textFill>
              </w:rPr>
              <w:t>制定项目废气自行监测计划，制定情况如表16所示。</w:t>
            </w: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w:t>
            </w: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p>
            <w:pPr>
              <w:spacing w:line="520" w:lineRule="exact"/>
              <w:ind w:firstLine="480" w:firstLineChars="200"/>
              <w:rPr>
                <w:color w:val="000000" w:themeColor="text1"/>
                <w:kern w:val="0"/>
                <w:sz w:val="24"/>
                <w14:textFill>
                  <w14:solidFill>
                    <w14:schemeClr w14:val="tx1"/>
                  </w14:solidFill>
                </w14:textFill>
              </w:rPr>
            </w:pPr>
          </w:p>
        </w:tc>
      </w:tr>
    </w:tbl>
    <w:p>
      <w:pPr>
        <w:adjustRightInd w:val="0"/>
        <w:snapToGrid w:val="0"/>
        <w:spacing w:line="360" w:lineRule="auto"/>
        <w:ind w:firstLine="562"/>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pPr>
        <w:widowControl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表15    项目废气污染源源强核算结果及相关参数一览表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546"/>
        <w:gridCol w:w="577"/>
        <w:gridCol w:w="299"/>
        <w:gridCol w:w="698"/>
        <w:gridCol w:w="730"/>
        <w:gridCol w:w="719"/>
        <w:gridCol w:w="719"/>
        <w:gridCol w:w="577"/>
        <w:gridCol w:w="722"/>
        <w:gridCol w:w="577"/>
        <w:gridCol w:w="719"/>
        <w:gridCol w:w="432"/>
        <w:gridCol w:w="583"/>
        <w:gridCol w:w="719"/>
        <w:gridCol w:w="863"/>
        <w:gridCol w:w="722"/>
        <w:gridCol w:w="719"/>
        <w:gridCol w:w="722"/>
        <w:gridCol w:w="719"/>
        <w:gridCol w:w="719"/>
        <w:gridCol w:w="719"/>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产排污环节</w:t>
            </w:r>
          </w:p>
        </w:tc>
        <w:tc>
          <w:tcPr>
            <w:tcW w:w="18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污染源</w:t>
            </w:r>
          </w:p>
        </w:tc>
        <w:tc>
          <w:tcPr>
            <w:tcW w:w="19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污染物种类</w:t>
            </w:r>
          </w:p>
        </w:tc>
        <w:tc>
          <w:tcPr>
            <w:tcW w:w="1070" w:type="pct"/>
            <w:gridSpan w:val="5"/>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污染物产生</w:t>
            </w:r>
          </w:p>
        </w:tc>
        <w:tc>
          <w:tcPr>
            <w:tcW w:w="19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排放方式</w:t>
            </w:r>
          </w:p>
        </w:tc>
        <w:tc>
          <w:tcPr>
            <w:tcW w:w="828" w:type="pct"/>
            <w:gridSpan w:val="4"/>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治理措施</w:t>
            </w:r>
          </w:p>
        </w:tc>
        <w:tc>
          <w:tcPr>
            <w:tcW w:w="976" w:type="pct"/>
            <w:gridSpan w:val="4"/>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w:t>
            </w:r>
          </w:p>
        </w:tc>
        <w:tc>
          <w:tcPr>
            <w:tcW w:w="730" w:type="pct"/>
            <w:gridSpan w:val="3"/>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排风口基本信息</w:t>
            </w:r>
          </w:p>
        </w:tc>
        <w:tc>
          <w:tcPr>
            <w:tcW w:w="24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排放时间h</w:t>
            </w:r>
          </w:p>
        </w:tc>
        <w:tc>
          <w:tcPr>
            <w:tcW w:w="375" w:type="pct"/>
            <w:gridSpan w:val="2"/>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20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8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01"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核算方法</w:t>
            </w:r>
          </w:p>
        </w:tc>
        <w:tc>
          <w:tcPr>
            <w:tcW w:w="23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废气量m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/h</w:t>
            </w:r>
          </w:p>
        </w:tc>
        <w:tc>
          <w:tcPr>
            <w:tcW w:w="24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产生浓度mg/m</w:t>
            </w:r>
            <w:r>
              <w:rPr>
                <w:bCs/>
                <w:color w:val="000000" w:themeColor="text1"/>
                <w:szCs w:val="21"/>
                <w:vertAlign w:val="superscript"/>
                <w14:textFill>
                  <w14:solidFill>
                    <w14:schemeClr w14:val="tx1"/>
                  </w14:solidFill>
                </w14:textFill>
              </w:rPr>
              <w:t>3</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产生速率kg/h</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产生量t/a</w:t>
            </w: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处理能力及工艺</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收集效率%</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工艺去除率%</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是否为可行技术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废气量m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/h</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排放浓度mg/m</w:t>
            </w:r>
            <w:r>
              <w:rPr>
                <w:bCs/>
                <w:color w:val="000000" w:themeColor="text1"/>
                <w:szCs w:val="21"/>
                <w:vertAlign w:val="superscript"/>
                <w14:textFill>
                  <w14:solidFill>
                    <w14:schemeClr w14:val="tx1"/>
                  </w14:solidFill>
                </w14:textFill>
              </w:rPr>
              <w:t>3</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排放速率kg/h</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排放量t/a</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排气筒内径、高度、温度</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编号及名称、类型</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地理坐标</w:t>
            </w: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浓度mg/m</w:t>
            </w:r>
            <w:r>
              <w:rPr>
                <w:bCs/>
                <w:color w:val="000000" w:themeColor="text1"/>
                <w:szCs w:val="21"/>
                <w:vertAlign w:val="superscript"/>
                <w14:textFill>
                  <w14:solidFill>
                    <w14:schemeClr w14:val="tx1"/>
                  </w14:solidFill>
                </w14:textFill>
              </w:rPr>
              <w:t>3</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车辆运输</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车辆</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公式法</w:t>
            </w:r>
          </w:p>
        </w:tc>
        <w:tc>
          <w:tcPr>
            <w:tcW w:w="23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tcBorders>
              <w:bottom w:val="single" w:color="auto" w:sz="2" w:space="0"/>
            </w:tcBorders>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kern w:val="0"/>
                <w:szCs w:val="21"/>
                <w14:textFill>
                  <w14:solidFill>
                    <w14:schemeClr w14:val="tx1"/>
                  </w14:solidFill>
                </w14:textFill>
              </w:rPr>
              <w:t>1.803</w:t>
            </w:r>
          </w:p>
        </w:tc>
        <w:tc>
          <w:tcPr>
            <w:tcW w:w="195" w:type="pct"/>
            <w:tcBorders>
              <w:bottom w:val="single" w:color="auto" w:sz="2" w:space="0"/>
            </w:tcBorders>
            <w:shd w:val="clear" w:color="auto" w:fill="auto"/>
            <w:vAlign w:val="center"/>
          </w:tcPr>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无组织</w:t>
            </w:r>
          </w:p>
        </w:tc>
        <w:tc>
          <w:tcPr>
            <w:tcW w:w="244" w:type="pct"/>
            <w:tcBorders>
              <w:bottom w:val="single" w:color="auto" w:sz="2" w:space="0"/>
            </w:tcBorders>
            <w:shd w:val="clear" w:color="auto" w:fill="auto"/>
            <w:vAlign w:val="center"/>
          </w:tcPr>
          <w:p>
            <w:pPr>
              <w:widowControl w:val="0"/>
              <w:adjustRightInd w:val="0"/>
              <w:snapToGrid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厂区喷淋装置、洗车台、地面硬化处理</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0.1803</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0.5</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物料装卸</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装卸过程</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tcBorders>
              <w:top w:val="single" w:color="auto" w:sz="2" w:space="0"/>
              <w:bottom w:val="single" w:color="auto" w:sz="2" w:space="0"/>
            </w:tcBorders>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0.0407</w:t>
            </w:r>
          </w:p>
        </w:tc>
        <w:tc>
          <w:tcPr>
            <w:tcW w:w="195" w:type="pct"/>
            <w:tcBorders>
              <w:top w:val="single" w:color="auto" w:sz="2" w:space="0"/>
              <w:bottom w:val="single" w:color="auto" w:sz="2" w:space="0"/>
            </w:tcBorders>
            <w:shd w:val="clear" w:color="auto" w:fill="auto"/>
            <w:vAlign w:val="center"/>
          </w:tcPr>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无组织</w:t>
            </w:r>
          </w:p>
        </w:tc>
        <w:tc>
          <w:tcPr>
            <w:tcW w:w="244" w:type="pct"/>
            <w:tcBorders>
              <w:top w:val="single" w:color="auto" w:sz="2" w:space="0"/>
            </w:tcBorders>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车间阻隔</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0.0041</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0.5</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投料</w:t>
            </w:r>
          </w:p>
        </w:tc>
        <w:tc>
          <w:tcPr>
            <w:tcW w:w="18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投料</w:t>
            </w:r>
            <w:r>
              <w:rPr>
                <w:rFonts w:hint="eastAsia"/>
                <w:bCs/>
                <w:color w:val="000000" w:themeColor="text1"/>
                <w:szCs w:val="21"/>
                <w14:textFill>
                  <w14:solidFill>
                    <w14:schemeClr w14:val="tx1"/>
                  </w14:solidFill>
                </w14:textFill>
              </w:rPr>
              <w:t>、物料输送</w:t>
            </w:r>
            <w:r>
              <w:rPr>
                <w:bCs/>
                <w:color w:val="000000" w:themeColor="text1"/>
                <w:szCs w:val="21"/>
                <w14:textFill>
                  <w14:solidFill>
                    <w14:schemeClr w14:val="tx1"/>
                  </w14:solidFill>
                </w14:textFill>
              </w:rPr>
              <w:t>过程</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tcBorders>
              <w:top w:val="single" w:color="auto" w:sz="2" w:space="0"/>
              <w:bottom w:val="single" w:color="auto" w:sz="2" w:space="0"/>
            </w:tcBorders>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0.487</w:t>
            </w:r>
          </w:p>
        </w:tc>
        <w:tc>
          <w:tcPr>
            <w:tcW w:w="195" w:type="pct"/>
            <w:tcBorders>
              <w:top w:val="single" w:color="auto" w:sz="2" w:space="0"/>
              <w:bottom w:val="single" w:color="auto" w:sz="2" w:space="0"/>
            </w:tcBorders>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无组织</w:t>
            </w:r>
          </w:p>
        </w:tc>
        <w:tc>
          <w:tcPr>
            <w:tcW w:w="244" w:type="pct"/>
            <w:tcBorders>
              <w:top w:val="single" w:color="auto" w:sz="2" w:space="0"/>
            </w:tcBorders>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车间阻隔</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0.0487</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8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20000</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rFonts w:hint="eastAsia"/>
                <w:bCs/>
                <w:color w:val="000000" w:themeColor="text1"/>
                <w:spacing w:val="-20"/>
                <w:szCs w:val="21"/>
                <w14:textFill>
                  <w14:solidFill>
                    <w14:schemeClr w14:val="tx1"/>
                  </w14:solidFill>
                </w14:textFill>
              </w:rPr>
              <w:t>1</w:t>
            </w:r>
            <w:r>
              <w:rPr>
                <w:bCs/>
                <w:color w:val="000000" w:themeColor="text1"/>
                <w:spacing w:val="-20"/>
                <w:szCs w:val="21"/>
                <w14:textFill>
                  <w14:solidFill>
                    <w14:schemeClr w14:val="tx1"/>
                  </w14:solidFill>
                </w14:textFill>
              </w:rPr>
              <w:t>676.2</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33.5</w:t>
            </w:r>
          </w:p>
        </w:tc>
        <w:tc>
          <w:tcPr>
            <w:tcW w:w="243" w:type="pct"/>
            <w:tcBorders>
              <w:top w:val="single" w:color="auto" w:sz="2" w:space="0"/>
            </w:tcBorders>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80.459</w:t>
            </w:r>
          </w:p>
        </w:tc>
        <w:tc>
          <w:tcPr>
            <w:tcW w:w="195" w:type="pct"/>
            <w:tcBorders>
              <w:top w:val="single" w:color="auto" w:sz="2" w:space="0"/>
              <w:bottom w:val="single" w:color="auto" w:sz="2" w:space="0"/>
            </w:tcBorders>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244" w:type="pct"/>
            <w:tcBorders>
              <w:top w:val="single" w:color="auto" w:sz="2" w:space="0"/>
            </w:tcBorders>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覆膜袋式除尘器</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99.5</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pacing w:val="-20"/>
                <w:szCs w:val="21"/>
                <w14:textFill>
                  <w14:solidFill>
                    <w14:schemeClr w14:val="tx1"/>
                  </w14:solidFill>
                </w14:textFill>
              </w:rPr>
              <w:t>20000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8.4</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0.1676</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0.4023</w:t>
            </w:r>
          </w:p>
        </w:tc>
        <w:tc>
          <w:tcPr>
            <w:tcW w:w="243" w:type="pct"/>
            <w:shd w:val="clear" w:color="auto" w:fill="auto"/>
            <w:vAlign w:val="center"/>
          </w:tcPr>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H=15m、内径 0.4m、常温</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DA001一般排放口</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w:t>
            </w:r>
          </w:p>
          <w:p>
            <w:pPr>
              <w:widowControl w:val="0"/>
              <w:ind w:left="-105" w:leftChars="-50" w:right="-105" w:rightChars="-50"/>
              <w:jc w:val="center"/>
              <w:rPr>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113.6686，北纬35.2009</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2400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料仓呼吸孔</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料仓</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8000</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1800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4.4</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rFonts w:hint="eastAsia"/>
                <w:bCs/>
                <w:color w:val="000000" w:themeColor="text1"/>
                <w:spacing w:val="-20"/>
                <w:szCs w:val="21"/>
                <w14:textFill>
                  <w14:solidFill>
                    <w14:schemeClr w14:val="tx1"/>
                  </w14:solidFill>
                </w14:textFill>
              </w:rPr>
              <w:t>7</w:t>
            </w:r>
            <w:r>
              <w:rPr>
                <w:bCs/>
                <w:color w:val="000000" w:themeColor="text1"/>
                <w:spacing w:val="-20"/>
                <w:szCs w:val="21"/>
                <w14:textFill>
                  <w14:solidFill>
                    <w14:schemeClr w14:val="tx1"/>
                  </w14:solidFill>
                </w14:textFill>
              </w:rPr>
              <w:t>.848</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244" w:type="pct"/>
            <w:shd w:val="clear" w:color="auto" w:fill="auto"/>
            <w:vAlign w:val="center"/>
          </w:tcPr>
          <w:p>
            <w:pPr>
              <w:widowControl w:val="0"/>
              <w:ind w:left="-105" w:leftChars="-50" w:right="-105" w:rightChars="-50"/>
              <w:jc w:val="center"/>
              <w:rPr>
                <w:b/>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覆膜袋式除尘器</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99.5</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0.072</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0.0392</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H=15m、内径 0.8m、常温</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DA002一般排放口</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东经113.6690,北纬35.2008</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r>
              <w:rPr>
                <w:bCs/>
                <w:color w:val="000000" w:themeColor="text1"/>
                <w:szCs w:val="21"/>
                <w14:textFill>
                  <w14:solidFill>
                    <w14:schemeClr w14:val="tx1"/>
                  </w14:solidFill>
                </w14:textFill>
              </w:rPr>
              <w:t>45</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1#搅拌过程</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1#拌合机</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10000</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1332.2</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13.3</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31.97</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244"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覆膜袋式除尘器</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99.5</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6.7</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0.0666</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0.1599</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H=15m、内径 0.8m、常温</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DA003一般排放口</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东经113.6685,北纬35.2005</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2#搅拌过程</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2#拌合机</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szCs w:val="21"/>
                <w14:textFill>
                  <w14:solidFill>
                    <w14:schemeClr w14:val="tx1"/>
                  </w14:solidFill>
                </w14:textFill>
              </w:rPr>
              <w:t>10000</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szCs w:val="21"/>
                <w14:textFill>
                  <w14:solidFill>
                    <w14:schemeClr w14:val="tx1"/>
                  </w14:solidFill>
                </w14:textFill>
              </w:rPr>
              <w:t>1332.2</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13.3</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szCs w:val="21"/>
                <w14:textFill>
                  <w14:solidFill>
                    <w14:schemeClr w14:val="tx1"/>
                  </w14:solidFill>
                </w14:textFill>
              </w:rPr>
              <w:t>31.19</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244" w:type="pct"/>
            <w:shd w:val="clear" w:color="auto" w:fill="auto"/>
            <w:vAlign w:val="center"/>
          </w:tcPr>
          <w:p>
            <w:pPr>
              <w:widowControl w:val="0"/>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覆膜袋式除尘器</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99.5</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10000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6.7</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0.0666</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szCs w:val="21"/>
                <w14:textFill>
                  <w14:solidFill>
                    <w14:schemeClr w14:val="tx1"/>
                  </w14:solidFill>
                </w14:textFill>
              </w:rPr>
              <w:t>0.1599</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H=15m、内径 0.8m、常温</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DA004一般排放口</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东经113.6689,北纬35.2007</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3#搅拌过程</w:t>
            </w:r>
          </w:p>
        </w:tc>
        <w:tc>
          <w:tcPr>
            <w:tcW w:w="18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3#泡沫沥青搅拌机</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36"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10000</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1383.3</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13.8</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33.2</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244" w:type="pc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覆膜袋式除尘器</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99.5</w:t>
            </w:r>
          </w:p>
        </w:tc>
        <w:tc>
          <w:tcPr>
            <w:tcW w:w="146"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15000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0.0692</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0.166</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H=15m、内径 0.8m、常温</w:t>
            </w:r>
          </w:p>
        </w:tc>
        <w:tc>
          <w:tcPr>
            <w:tcW w:w="244"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DA005一般排放口</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东经113.6679,北纬35.2006</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蒸压养护过程</w:t>
            </w:r>
          </w:p>
        </w:tc>
        <w:tc>
          <w:tcPr>
            <w:tcW w:w="18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燃气锅炉</w:t>
            </w: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01" w:type="pct"/>
            <w:vMerge w:val="restart"/>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36" w:type="pct"/>
            <w:vMerge w:val="restar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3771.335</w:t>
            </w:r>
          </w:p>
        </w:tc>
        <w:tc>
          <w:tcPr>
            <w:tcW w:w="247"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4.9</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0.0185</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0.0444</w:t>
            </w:r>
          </w:p>
        </w:tc>
        <w:tc>
          <w:tcPr>
            <w:tcW w:w="19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244" w:type="pct"/>
            <w:vMerge w:val="restart"/>
            <w:shd w:val="clear" w:color="auto" w:fill="auto"/>
            <w:vAlign w:val="center"/>
          </w:tcPr>
          <w:p>
            <w:pPr>
              <w:widowControl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低氮燃烧系统</w:t>
            </w:r>
          </w:p>
        </w:tc>
        <w:tc>
          <w:tcPr>
            <w:tcW w:w="195"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24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46"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c>
          <w:tcPr>
            <w:tcW w:w="197"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3771.335</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4.9</w:t>
            </w:r>
          </w:p>
        </w:tc>
        <w:tc>
          <w:tcPr>
            <w:tcW w:w="29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0.0185</w:t>
            </w:r>
          </w:p>
        </w:tc>
        <w:tc>
          <w:tcPr>
            <w:tcW w:w="244"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0.0444</w:t>
            </w:r>
          </w:p>
        </w:tc>
        <w:tc>
          <w:tcPr>
            <w:tcW w:w="24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H=8m、内径 1m、常温</w:t>
            </w:r>
          </w:p>
        </w:tc>
        <w:tc>
          <w:tcPr>
            <w:tcW w:w="244"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DA006一般排放口</w:t>
            </w:r>
          </w:p>
        </w:tc>
        <w:tc>
          <w:tcPr>
            <w:tcW w:w="24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东经113.6887,北纬35.2016</w:t>
            </w:r>
          </w:p>
        </w:tc>
        <w:tc>
          <w:tcPr>
            <w:tcW w:w="243" w:type="pct"/>
            <w:vMerge w:val="restar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2400</w:t>
            </w: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8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kern w:val="0"/>
                <w:sz w:val="24"/>
                <w14:textFill>
                  <w14:solidFill>
                    <w14:schemeClr w14:val="tx1"/>
                  </w14:solidFill>
                </w14:textFill>
              </w:rPr>
              <w:t>SO</w:t>
            </w:r>
            <w:r>
              <w:rPr>
                <w:color w:val="000000" w:themeColor="text1"/>
                <w:kern w:val="0"/>
                <w:sz w:val="24"/>
                <w:vertAlign w:val="subscript"/>
                <w14:textFill>
                  <w14:solidFill>
                    <w14:schemeClr w14:val="tx1"/>
                  </w14:solidFill>
                </w14:textFill>
              </w:rPr>
              <w:t>2</w:t>
            </w:r>
          </w:p>
        </w:tc>
        <w:tc>
          <w:tcPr>
            <w:tcW w:w="101" w:type="pct"/>
            <w:vMerge w:val="continue"/>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p>
        </w:tc>
        <w:tc>
          <w:tcPr>
            <w:tcW w:w="236" w:type="pct"/>
            <w:vMerge w:val="continue"/>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p>
        </w:tc>
        <w:tc>
          <w:tcPr>
            <w:tcW w:w="247" w:type="pct"/>
            <w:shd w:val="clear" w:color="auto" w:fill="auto"/>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14:textFill>
                  <w14:solidFill>
                    <w14:schemeClr w14:val="tx1"/>
                  </w14:solidFill>
                </w14:textFill>
              </w:rPr>
              <w:t>3.7</w:t>
            </w:r>
          </w:p>
        </w:tc>
        <w:tc>
          <w:tcPr>
            <w:tcW w:w="243"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0.014</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0.0336</w:t>
            </w: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ind w:left="-105" w:leftChars="-50" w:right="-105" w:rightChars="-50"/>
              <w:jc w:val="center"/>
              <w:rPr>
                <w:color w:val="000000" w:themeColor="text1"/>
                <w:kern w:val="0"/>
                <w:szCs w:val="21"/>
                <w14:textFill>
                  <w14:solidFill>
                    <w14:schemeClr w14:val="tx1"/>
                  </w14:solidFill>
                </w14:textFill>
              </w:rPr>
            </w:pP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46"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3.7</w:t>
            </w:r>
          </w:p>
        </w:tc>
        <w:tc>
          <w:tcPr>
            <w:tcW w:w="292"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0.014</w:t>
            </w:r>
          </w:p>
        </w:tc>
        <w:tc>
          <w:tcPr>
            <w:tcW w:w="244" w:type="pct"/>
            <w:shd w:val="clear" w:color="auto" w:fill="auto"/>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14:textFill>
                  <w14:solidFill>
                    <w14:schemeClr w14:val="tx1"/>
                  </w14:solidFill>
                </w14:textFill>
              </w:rPr>
              <w:t>0.0336</w:t>
            </w: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8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5"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kern w:val="0"/>
                <w:sz w:val="24"/>
                <w14:textFill>
                  <w14:solidFill>
                    <w14:schemeClr w14:val="tx1"/>
                  </w14:solidFill>
                </w14:textFill>
              </w:rPr>
              <w:t>NO</w:t>
            </w:r>
            <w:r>
              <w:rPr>
                <w:color w:val="000000" w:themeColor="text1"/>
                <w:kern w:val="0"/>
                <w:sz w:val="24"/>
                <w:vertAlign w:val="subscript"/>
                <w14:textFill>
                  <w14:solidFill>
                    <w14:schemeClr w14:val="tx1"/>
                  </w14:solidFill>
                </w14:textFill>
              </w:rPr>
              <w:t>X</w:t>
            </w:r>
          </w:p>
        </w:tc>
        <w:tc>
          <w:tcPr>
            <w:tcW w:w="101" w:type="pct"/>
            <w:vMerge w:val="continue"/>
            <w:shd w:val="clear" w:color="auto" w:fill="auto"/>
            <w:vAlign w:val="center"/>
          </w:tcPr>
          <w:p>
            <w:pPr>
              <w:widowControl w:val="0"/>
              <w:ind w:left="-105" w:leftChars="-50" w:right="-105" w:rightChars="-50"/>
              <w:jc w:val="center"/>
              <w:rPr>
                <w:color w:val="000000" w:themeColor="text1"/>
                <w:szCs w:val="21"/>
                <w14:textFill>
                  <w14:solidFill>
                    <w14:schemeClr w14:val="tx1"/>
                  </w14:solidFill>
                </w14:textFill>
              </w:rPr>
            </w:pPr>
          </w:p>
        </w:tc>
        <w:tc>
          <w:tcPr>
            <w:tcW w:w="236" w:type="pct"/>
            <w:vMerge w:val="continue"/>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p>
        </w:tc>
        <w:tc>
          <w:tcPr>
            <w:tcW w:w="247" w:type="pct"/>
            <w:shd w:val="clear" w:color="auto" w:fill="auto"/>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14:textFill>
                  <w14:solidFill>
                    <w14:schemeClr w14:val="tx1"/>
                  </w14:solidFill>
                </w14:textFill>
              </w:rPr>
              <w:t>28.1</w:t>
            </w:r>
          </w:p>
        </w:tc>
        <w:tc>
          <w:tcPr>
            <w:tcW w:w="243"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0.0829</w:t>
            </w:r>
          </w:p>
        </w:tc>
        <w:tc>
          <w:tcPr>
            <w:tcW w:w="243" w:type="pct"/>
            <w:shd w:val="clear" w:color="auto" w:fill="auto"/>
            <w:vAlign w:val="center"/>
          </w:tcPr>
          <w:p>
            <w:pPr>
              <w:widowControl w:val="0"/>
              <w:ind w:left="-105" w:leftChars="-50" w:right="-105" w:rightChars="-50"/>
              <w:jc w:val="center"/>
              <w:rPr>
                <w:bCs/>
                <w:color w:val="000000" w:themeColor="text1"/>
                <w:spacing w:val="-20"/>
                <w:szCs w:val="21"/>
                <w14:textFill>
                  <w14:solidFill>
                    <w14:schemeClr w14:val="tx1"/>
                  </w14:solidFill>
                </w14:textFill>
              </w:rPr>
            </w:pPr>
            <w:r>
              <w:rPr>
                <w:bCs/>
                <w:color w:val="000000" w:themeColor="text1"/>
                <w:spacing w:val="-20"/>
                <w:szCs w:val="21"/>
                <w14:textFill>
                  <w14:solidFill>
                    <w14:schemeClr w14:val="tx1"/>
                  </w14:solidFill>
                </w14:textFill>
              </w:rPr>
              <w:t>0.2545</w:t>
            </w: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ind w:left="-105" w:leftChars="-50" w:right="-105" w:rightChars="-50"/>
              <w:jc w:val="center"/>
              <w:rPr>
                <w:color w:val="000000" w:themeColor="text1"/>
                <w:kern w:val="0"/>
                <w:szCs w:val="21"/>
                <w14:textFill>
                  <w14:solidFill>
                    <w14:schemeClr w14:val="tx1"/>
                  </w14:solidFill>
                </w14:textFill>
              </w:rPr>
            </w:pPr>
          </w:p>
        </w:tc>
        <w:tc>
          <w:tcPr>
            <w:tcW w:w="195"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46"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28.1</w:t>
            </w:r>
          </w:p>
        </w:tc>
        <w:tc>
          <w:tcPr>
            <w:tcW w:w="292" w:type="pct"/>
            <w:shd w:val="clear" w:color="auto" w:fill="auto"/>
          </w:tcPr>
          <w:p>
            <w:pPr>
              <w:widowControl w:val="0"/>
              <w:ind w:left="-105" w:leftChars="-50" w:right="-105" w:rightChars="-5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0.0829</w:t>
            </w:r>
          </w:p>
        </w:tc>
        <w:tc>
          <w:tcPr>
            <w:tcW w:w="244" w:type="pct"/>
            <w:shd w:val="clear" w:color="auto" w:fill="auto"/>
          </w:tcPr>
          <w:p>
            <w:pPr>
              <w:widowControl w:val="0"/>
              <w:ind w:left="-105" w:leftChars="-50" w:right="-105" w:rightChars="-50"/>
              <w:jc w:val="center"/>
              <w:rPr>
                <w:bCs/>
                <w:color w:val="000000" w:themeColor="text1"/>
                <w:spacing w:val="-20"/>
                <w:szCs w:val="21"/>
                <w14:textFill>
                  <w14:solidFill>
                    <w14:schemeClr w14:val="tx1"/>
                  </w14:solidFill>
                </w14:textFill>
              </w:rPr>
            </w:pPr>
            <w:r>
              <w:rPr>
                <w:color w:val="000000" w:themeColor="text1"/>
                <w14:textFill>
                  <w14:solidFill>
                    <w14:schemeClr w14:val="tx1"/>
                  </w14:solidFill>
                </w14:textFill>
              </w:rPr>
              <w:t>0.2545</w:t>
            </w: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vMerge w:val="continue"/>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p>
        </w:tc>
        <w:tc>
          <w:tcPr>
            <w:tcW w:w="243"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w:t>
            </w:r>
          </w:p>
        </w:tc>
        <w:tc>
          <w:tcPr>
            <w:tcW w:w="132" w:type="pct"/>
            <w:shd w:val="clear" w:color="auto" w:fill="auto"/>
            <w:vAlign w:val="center"/>
          </w:tcPr>
          <w:p>
            <w:pPr>
              <w:widowControl w:val="0"/>
              <w:ind w:left="-105" w:leftChars="-50" w:right="-105" w:rightChars="-5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pPr>
        <w:widowControl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表16   项目废气自行监测计划一览表</w:t>
      </w:r>
    </w:p>
    <w:tbl>
      <w:tblPr>
        <w:tblStyle w:val="18"/>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7"/>
        <w:gridCol w:w="3697"/>
        <w:gridCol w:w="3697"/>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序号</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监测点位</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监测因子</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r>
              <w:rPr>
                <w:color w:val="000000" w:themeColor="text1"/>
                <w:szCs w:val="21"/>
                <w14:textFill>
                  <w14:solidFill>
                    <w14:schemeClr w14:val="tx1"/>
                  </w14:solidFill>
                </w14:textFill>
              </w:rPr>
              <w:t>DA001</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料仓呼吸孔</w:t>
            </w:r>
            <w:r>
              <w:rPr>
                <w:color w:val="000000" w:themeColor="text1"/>
                <w:szCs w:val="21"/>
                <w14:textFill>
                  <w14:solidFill>
                    <w14:schemeClr w14:val="tx1"/>
                  </w14:solidFill>
                </w14:textFill>
              </w:rPr>
              <w:t>DA002</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1#搅拌过程</w:t>
            </w:r>
            <w:r>
              <w:rPr>
                <w:color w:val="000000" w:themeColor="text1"/>
                <w:szCs w:val="21"/>
                <w14:textFill>
                  <w14:solidFill>
                    <w14:schemeClr w14:val="tx1"/>
                  </w14:solidFill>
                </w14:textFill>
              </w:rPr>
              <w:t>DA003</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2#搅拌过程</w:t>
            </w:r>
            <w:r>
              <w:rPr>
                <w:color w:val="000000" w:themeColor="text1"/>
                <w:szCs w:val="21"/>
                <w14:textFill>
                  <w14:solidFill>
                    <w14:schemeClr w14:val="tx1"/>
                  </w14:solidFill>
                </w14:textFill>
              </w:rPr>
              <w:t>DA004</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3#搅拌过程</w:t>
            </w:r>
            <w:r>
              <w:rPr>
                <w:color w:val="000000" w:themeColor="text1"/>
                <w:szCs w:val="21"/>
                <w14:textFill>
                  <w14:solidFill>
                    <w14:schemeClr w14:val="tx1"/>
                  </w14:solidFill>
                </w14:textFill>
              </w:rPr>
              <w:t>DA005</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1250" w:type="pc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燃气锅炉</w:t>
            </w:r>
            <w:r>
              <w:rPr>
                <w:color w:val="000000" w:themeColor="text1"/>
                <w:szCs w:val="21"/>
                <w14:textFill>
                  <w14:solidFill>
                    <w14:schemeClr w14:val="tx1"/>
                  </w14:solidFill>
                </w14:textFill>
              </w:rPr>
              <w:t>DA006</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颗粒物、二氧化硫、氮氧化物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厂界</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250" w:type="pct"/>
            <w:shd w:val="clear" w:color="auto" w:fill="auto"/>
            <w:vAlign w:val="center"/>
          </w:tcPr>
          <w:p>
            <w:pPr>
              <w:widowControl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季度</w:t>
            </w:r>
          </w:p>
        </w:tc>
      </w:tr>
    </w:tbl>
    <w:p>
      <w:pPr>
        <w:widowControl w:val="0"/>
        <w:jc w:val="both"/>
        <w:rPr>
          <w:color w:val="000000" w:themeColor="text1"/>
          <w:sz w:val="24"/>
          <w14:textFill>
            <w14:solidFill>
              <w14:schemeClr w14:val="tx1"/>
            </w14:solidFill>
          </w14:textFill>
        </w:rPr>
        <w:sectPr>
          <w:pgSz w:w="16840" w:h="11907" w:orient="landscape"/>
          <w:pgMar w:top="1134" w:right="1134" w:bottom="1134" w:left="1134" w:header="851" w:footer="851" w:gutter="0"/>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15" w:hRule="atLeast"/>
        </w:trPr>
        <w:tc>
          <w:tcPr>
            <w:tcW w:w="817" w:type="dxa"/>
            <w:shd w:val="clear" w:color="auto" w:fill="auto"/>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14"/>
              <w:spacing w:before="0" w:beforeAutospacing="0" w:after="0" w:afterAutospacing="0"/>
              <w:jc w:val="center"/>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color w:val="000000" w:themeColor="text1"/>
                <w:szCs w:val="24"/>
                <w14:textFill>
                  <w14:solidFill>
                    <w14:schemeClr w14:val="tx1"/>
                  </w14:solidFill>
                </w14:textFill>
              </w:rPr>
              <w:t>措施</w:t>
            </w:r>
          </w:p>
        </w:tc>
        <w:tc>
          <w:tcPr>
            <w:tcW w:w="8243" w:type="dxa"/>
            <w:shd w:val="clear" w:color="auto" w:fill="auto"/>
          </w:tcPr>
          <w:p>
            <w:pPr>
              <w:pStyle w:val="14"/>
              <w:spacing w:before="0" w:beforeAutospacing="0" w:after="0" w:afterAutospacing="0" w:line="520" w:lineRule="exact"/>
              <w:ind w:firstLine="422"/>
              <w:jc w:val="both"/>
              <w:outlineLvl w:val="0"/>
              <w:rPr>
                <w:rFonts w:ascii="Times New Roman" w:hAnsi="Times New Roman"/>
                <w:b/>
                <w:bCs/>
                <w:snapToGrid w:val="0"/>
                <w:color w:val="000000" w:themeColor="text1"/>
                <w:szCs w:val="24"/>
                <w14:textFill>
                  <w14:solidFill>
                    <w14:schemeClr w14:val="tx1"/>
                  </w14:solidFill>
                </w14:textFill>
              </w:rPr>
            </w:pPr>
            <w:r>
              <w:rPr>
                <w:rFonts w:ascii="Times New Roman" w:hAnsi="Times New Roman"/>
                <w:b/>
                <w:bCs/>
                <w:snapToGrid w:val="0"/>
                <w:color w:val="000000" w:themeColor="text1"/>
                <w:szCs w:val="24"/>
                <w14:textFill>
                  <w14:solidFill>
                    <w14:schemeClr w14:val="tx1"/>
                  </w14:solidFill>
                </w14:textFill>
              </w:rPr>
              <w:t>1、废气源强分析</w:t>
            </w:r>
          </w:p>
          <w:p>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本项目废气产生工序分别为</w:t>
            </w:r>
            <w:r>
              <w:rPr>
                <w:color w:val="000000" w:themeColor="text1"/>
                <w:kern w:val="0"/>
                <w:sz w:val="24"/>
                <w14:textFill>
                  <w14:solidFill>
                    <w14:schemeClr w14:val="tx1"/>
                  </w14:solidFill>
                </w14:textFill>
              </w:rPr>
              <w:t>投料过程、</w:t>
            </w:r>
            <w:r>
              <w:rPr>
                <w:bCs/>
                <w:color w:val="000000" w:themeColor="text1"/>
                <w:kern w:val="0"/>
                <w:sz w:val="24"/>
                <w14:textFill>
                  <w14:solidFill>
                    <w14:schemeClr w14:val="tx1"/>
                  </w14:solidFill>
                </w14:textFill>
              </w:rPr>
              <w:t>物料输送</w:t>
            </w:r>
            <w:r>
              <w:rPr>
                <w:color w:val="000000" w:themeColor="text1"/>
                <w:kern w:val="0"/>
                <w:sz w:val="24"/>
                <w14:textFill>
                  <w14:solidFill>
                    <w14:schemeClr w14:val="tx1"/>
                  </w14:solidFill>
                </w14:textFill>
              </w:rPr>
              <w:t>过程、料仓储存、搅拌过程、车辆运输过程、物料装卸过程。</w:t>
            </w:r>
            <w:r>
              <w:rPr>
                <w:color w:val="000000" w:themeColor="text1"/>
                <w:sz w:val="24"/>
                <w14:textFill>
                  <w14:solidFill>
                    <w14:schemeClr w14:val="tx1"/>
                  </w14:solidFill>
                </w14:textFill>
              </w:rPr>
              <w:t>具体产排源强如下。</w:t>
            </w:r>
          </w:p>
          <w:p>
            <w:pPr>
              <w:spacing w:line="50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（1）车辆运输过程中产生的扬尘</w:t>
            </w:r>
          </w:p>
          <w:p>
            <w:pPr>
              <w:widowControl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工程交通运输起尘采用下述公式进行计算：</w:t>
            </w:r>
          </w:p>
          <w:p>
            <w:pPr>
              <w:widowControl w:val="0"/>
              <w:spacing w:line="520" w:lineRule="exact"/>
              <w:ind w:firstLine="840" w:firstLineChars="35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Q</w:t>
            </w:r>
            <w:r>
              <w:rPr>
                <w:color w:val="000000" w:themeColor="text1"/>
                <w:kern w:val="0"/>
                <w:sz w:val="24"/>
                <w:vertAlign w:val="subscript"/>
                <w14:textFill>
                  <w14:solidFill>
                    <w14:schemeClr w14:val="tx1"/>
                  </w14:solidFill>
                </w14:textFill>
              </w:rPr>
              <w:t>y</w:t>
            </w:r>
            <w:r>
              <w:rPr>
                <w:color w:val="000000" w:themeColor="text1"/>
                <w:kern w:val="0"/>
                <w:sz w:val="24"/>
                <w14:textFill>
                  <w14:solidFill>
                    <w14:schemeClr w14:val="tx1"/>
                  </w14:solidFill>
                </w14:textFill>
              </w:rPr>
              <w:t>=0.123×（V/5）×（M/6.8）</w:t>
            </w:r>
            <w:r>
              <w:rPr>
                <w:color w:val="000000" w:themeColor="text1"/>
                <w:kern w:val="0"/>
                <w:sz w:val="24"/>
                <w:vertAlign w:val="superscript"/>
                <w14:textFill>
                  <w14:solidFill>
                    <w14:schemeClr w14:val="tx1"/>
                  </w14:solidFill>
                </w14:textFill>
              </w:rPr>
              <w:t>0.85</w:t>
            </w:r>
            <w:r>
              <w:rPr>
                <w:color w:val="000000" w:themeColor="text1"/>
                <w:kern w:val="0"/>
                <w:sz w:val="24"/>
                <w14:textFill>
                  <w14:solidFill>
                    <w14:schemeClr w14:val="tx1"/>
                  </w14:solidFill>
                </w14:textFill>
              </w:rPr>
              <w:t>×（P/0.5）</w:t>
            </w:r>
            <w:r>
              <w:rPr>
                <w:color w:val="000000" w:themeColor="text1"/>
                <w:kern w:val="0"/>
                <w:sz w:val="24"/>
                <w:vertAlign w:val="superscript"/>
                <w14:textFill>
                  <w14:solidFill>
                    <w14:schemeClr w14:val="tx1"/>
                  </w14:solidFill>
                </w14:textFill>
              </w:rPr>
              <w:t>0.72</w:t>
            </w:r>
            <w:r>
              <w:rPr>
                <w:color w:val="000000" w:themeColor="text1"/>
                <w:kern w:val="0"/>
                <w:sz w:val="24"/>
                <w14:textFill>
                  <w14:solidFill>
                    <w14:schemeClr w14:val="tx1"/>
                  </w14:solidFill>
                </w14:textFill>
              </w:rPr>
              <w:t xml:space="preserve">  </w:t>
            </w:r>
          </w:p>
          <w:p>
            <w:pPr>
              <w:widowControl w:val="0"/>
              <w:spacing w:line="520" w:lineRule="exact"/>
              <w:jc w:val="both"/>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 xml:space="preserve">       Q</w:t>
            </w:r>
            <w:r>
              <w:rPr>
                <w:color w:val="000000" w:themeColor="text1"/>
                <w:kern w:val="0"/>
                <w:sz w:val="24"/>
                <w:vertAlign w:val="subscript"/>
                <w14:textFill>
                  <w14:solidFill>
                    <w14:schemeClr w14:val="tx1"/>
                  </w14:solidFill>
                </w14:textFill>
              </w:rPr>
              <w:t>t</w:t>
            </w:r>
            <w:r>
              <w:rPr>
                <w:color w:val="000000" w:themeColor="text1"/>
                <w:kern w:val="0"/>
                <w:sz w:val="24"/>
                <w14:textFill>
                  <w14:solidFill>
                    <w14:schemeClr w14:val="tx1"/>
                  </w14:solidFill>
                </w14:textFill>
              </w:rPr>
              <w:t>= Q</w:t>
            </w:r>
            <w:r>
              <w:rPr>
                <w:color w:val="000000" w:themeColor="text1"/>
                <w:kern w:val="0"/>
                <w:sz w:val="24"/>
                <w:vertAlign w:val="subscript"/>
                <w14:textFill>
                  <w14:solidFill>
                    <w14:schemeClr w14:val="tx1"/>
                  </w14:solidFill>
                </w14:textFill>
              </w:rPr>
              <w:t>y</w:t>
            </w:r>
            <w:r>
              <w:rPr>
                <w:color w:val="000000" w:themeColor="text1"/>
                <w:kern w:val="0"/>
                <w:sz w:val="24"/>
                <w14:textFill>
                  <w14:solidFill>
                    <w14:schemeClr w14:val="tx1"/>
                  </w14:solidFill>
                </w14:textFill>
              </w:rPr>
              <w:t>×L×(Q/M)</w:t>
            </w:r>
          </w:p>
          <w:p>
            <w:pPr>
              <w:widowControl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式中：Q</w:t>
            </w:r>
            <w:r>
              <w:rPr>
                <w:color w:val="000000" w:themeColor="text1"/>
                <w:kern w:val="0"/>
                <w:sz w:val="24"/>
                <w:vertAlign w:val="subscript"/>
                <w14:textFill>
                  <w14:solidFill>
                    <w14:schemeClr w14:val="tx1"/>
                  </w14:solidFill>
                </w14:textFill>
              </w:rPr>
              <w:t>y</w:t>
            </w:r>
            <w:r>
              <w:rPr>
                <w:color w:val="000000" w:themeColor="text1"/>
                <w:kern w:val="0"/>
                <w:sz w:val="24"/>
                <w14:textFill>
                  <w14:solidFill>
                    <w14:schemeClr w14:val="tx1"/>
                  </w14:solidFill>
                </w14:textFill>
              </w:rPr>
              <w:t>—交通运输起尘量，kg/km·辆；</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Q</w:t>
            </w:r>
            <w:r>
              <w:rPr>
                <w:color w:val="000000" w:themeColor="text1"/>
                <w:kern w:val="0"/>
                <w:sz w:val="24"/>
                <w:vertAlign w:val="subscript"/>
                <w14:textFill>
                  <w14:solidFill>
                    <w14:schemeClr w14:val="tx1"/>
                  </w14:solidFill>
                </w14:textFill>
              </w:rPr>
              <w:t>t</w:t>
            </w:r>
            <w:r>
              <w:rPr>
                <w:color w:val="000000" w:themeColor="text1"/>
                <w:kern w:val="0"/>
                <w:sz w:val="24"/>
                <w14:textFill>
                  <w14:solidFill>
                    <w14:schemeClr w14:val="tx1"/>
                  </w14:solidFill>
                </w14:textFill>
              </w:rPr>
              <w:t>—运输途中起尘量，kg/a；</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V—车辆行驶速度，km/h；</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P—路面状况，以每平方米路面灰尘覆盖率表示，kg/m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M—车辆载重，t/辆；</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L—运输距离，km；</w:t>
            </w:r>
          </w:p>
          <w:p>
            <w:pPr>
              <w:widowControl w:val="0"/>
              <w:spacing w:line="520" w:lineRule="exact"/>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Q—运输量，t/a。</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本项目车辆行驶距离按100m计，空车重约10t，载重车重约40t，</w:t>
            </w:r>
            <w:r>
              <w:rPr>
                <w:bCs/>
                <w:color w:val="000000" w:themeColor="text1"/>
                <w:kern w:val="0"/>
                <w:sz w:val="24"/>
                <w14:textFill>
                  <w14:solidFill>
                    <w14:schemeClr w14:val="tx1"/>
                  </w14:solidFill>
                </w14:textFill>
              </w:rPr>
              <w:t>平均每天</w:t>
            </w:r>
            <w:r>
              <w:rPr>
                <w:color w:val="000000" w:themeColor="text1"/>
                <w:kern w:val="0"/>
                <w:sz w:val="24"/>
                <w14:textFill>
                  <w14:solidFill>
                    <w14:schemeClr w14:val="tx1"/>
                  </w14:solidFill>
                </w14:textFill>
              </w:rPr>
              <w:t>发空车及载重车各66辆（包含产品车辆），以20km/h的速度行驶。经计算，在不同路面状况的起尘量见下表所示。</w:t>
            </w:r>
          </w:p>
          <w:p>
            <w:pPr>
              <w:widowControl w:val="0"/>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表17       不同路面状况下的起尘量一览表    单位：kg/d</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035"/>
              <w:gridCol w:w="1138"/>
              <w:gridCol w:w="1151"/>
              <w:gridCol w:w="1153"/>
              <w:gridCol w:w="1153"/>
              <w:gridCol w:w="1153"/>
              <w:gridCol w:w="115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035"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路况</w:t>
                  </w:r>
                </w:p>
              </w:tc>
              <w:tc>
                <w:tcPr>
                  <w:tcW w:w="1138"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1151"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1153"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1153"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0.4</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1153"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c>
                <w:tcPr>
                  <w:tcW w:w="1153"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0.6</w:t>
                  </w:r>
                </w:p>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035"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重车起尘量</w:t>
                  </w:r>
                </w:p>
              </w:tc>
              <w:tc>
                <w:tcPr>
                  <w:tcW w:w="1138"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4.5959</w:t>
                  </w:r>
                </w:p>
              </w:tc>
              <w:tc>
                <w:tcPr>
                  <w:tcW w:w="1151"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7.5703</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10.1367</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12.4696</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14.6429</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16.6970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035" w:type="dxa"/>
                  <w:shd w:val="clear" w:color="auto" w:fill="auto"/>
                  <w:vAlign w:val="center"/>
                </w:tcPr>
                <w:p>
                  <w:pPr>
                    <w:widowControl w:val="0"/>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空车起尘量</w:t>
                  </w:r>
                </w:p>
              </w:tc>
              <w:tc>
                <w:tcPr>
                  <w:tcW w:w="1138"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1.4145</w:t>
                  </w:r>
                </w:p>
              </w:tc>
              <w:tc>
                <w:tcPr>
                  <w:tcW w:w="1151"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2.3300</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3.1199</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3.8380</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4.50688</w:t>
                  </w:r>
                </w:p>
              </w:tc>
              <w:tc>
                <w:tcPr>
                  <w:tcW w:w="1153" w:type="dxa"/>
                  <w:shd w:val="clear" w:color="auto" w:fill="auto"/>
                  <w:vAlign w:val="center"/>
                </w:tcPr>
                <w:p>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5.1391</w:t>
                  </w:r>
                </w:p>
              </w:tc>
            </w:tr>
          </w:tbl>
          <w:p>
            <w:pPr>
              <w:widowControl w:val="0"/>
              <w:autoSpaceDE w:val="0"/>
              <w:autoSpaceDN w:val="0"/>
              <w:adjustRightIn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根据本项目情况，待项目建成后，车间内路面硬化处理，路面状况较好，并且环评要求对厂区地面定时洒水，基于这种情况道路路况以0.1kg/m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计，则车辆运输起尘量为1803.1kg/a，则起尘量为1.8031t/a。</w:t>
            </w:r>
          </w:p>
          <w:p>
            <w:pPr>
              <w:widowControl w:val="0"/>
              <w:spacing w:line="520" w:lineRule="exact"/>
              <w:ind w:firstLine="480" w:firstLineChars="200"/>
              <w:jc w:val="both"/>
              <w:rPr>
                <w:b/>
                <w:color w:val="000000" w:themeColor="text1"/>
                <w:kern w:val="0"/>
                <w:sz w:val="24"/>
                <w:highlight w:val="cyan"/>
                <w14:textFill>
                  <w14:solidFill>
                    <w14:schemeClr w14:val="tx1"/>
                  </w14:solidFill>
                </w14:textFill>
              </w:rPr>
            </w:pPr>
            <w:r>
              <w:rPr>
                <w:color w:val="000000" w:themeColor="text1"/>
                <w:kern w:val="0"/>
                <w:sz w:val="24"/>
                <w14:textFill>
                  <w14:solidFill>
                    <w14:schemeClr w14:val="tx1"/>
                  </w14:solidFill>
                </w14:textFill>
              </w:rPr>
              <w:t>本项目在厂区车辆出入口设置</w:t>
            </w:r>
            <w:r>
              <w:rPr>
                <w:color w:val="000000" w:themeColor="text1"/>
                <w:sz w:val="24"/>
                <w14:textFill>
                  <w14:solidFill>
                    <w14:schemeClr w14:val="tx1"/>
                  </w14:solidFill>
                </w14:textFill>
              </w:rPr>
              <w:t>厂区喷淋装置、洗车台、地面硬化处理</w:t>
            </w:r>
            <w:r>
              <w:rPr>
                <w:color w:val="000000" w:themeColor="text1"/>
                <w:kern w:val="0"/>
                <w:sz w:val="24"/>
                <w14:textFill>
                  <w14:solidFill>
                    <w14:schemeClr w14:val="tx1"/>
                  </w14:solidFill>
                </w14:textFill>
              </w:rPr>
              <w:t>，经采取以上措施处理后，能够有效的减少运输车辆扬尘，运输车辆动力起尘量可削减90%以上，即车辆运输过程中的粉尘量0.1803t/a</w:t>
            </w:r>
            <w:r>
              <w:rPr>
                <w:color w:val="000000" w:themeColor="text1"/>
                <w:sz w:val="24"/>
                <w14:textFill>
                  <w14:solidFill>
                    <w14:schemeClr w14:val="tx1"/>
                  </w14:solidFill>
                </w14:textFill>
              </w:rPr>
              <w:t>。</w:t>
            </w:r>
          </w:p>
          <w:p>
            <w:pPr>
              <w:spacing w:line="50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（2）物料装卸中产生的粉尘</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物料均存放于密闭的生产车间内，不存在物料堆放扬尘。本项目水泥、泡沫沥青等物料为密闭罐车运输，直接由泵将罐车中的物料在高压情况下打进料仓内，整个过程在密闭的环境中进行，该过程不产生装卸粉尘，本评价仅分析机制砂、石子、再生混合料卸料过程中产生的起尘量。</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无组织排放源常用分析与估算方法》（西北铀矿地质，2015年10月第31卷第2期），该报告中推荐选用山西环保科研所、武汉水运工程学院提出的经验公式对运输车卸料起尘量进行估算，经验公式对运输车卸料起尘量进行估算，经验公式为：</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Q = e0.61u•M/13.5</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式中：Q——汽车卸料起尘量，g/次；</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 xml:space="preserve">      u——平均风速，m/s，由于位于车间内部，平均风速取0.2m/s；</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 xml:space="preserve">      M——汽车卸料量，t，项目汽车卸料量为30t；</w:t>
            </w:r>
          </w:p>
          <w:p>
            <w:pPr>
              <w:spacing w:line="50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机制砂、石子、再生混合料的年用量共计48.7万t/a，卸料16234车次，单次卸料粉尘产生量为2.51g，年卸料粉尘产生量为0.0407t/a。评价建议：在车间顶部设置高压喷头，物料卸料过程采用高压喷雾降尘，经采取以上措施处理后，颗粒物逸散至车间外部的粉尘量约为10%，则逸散至车间外部的粉尘量约为0.0041t/a。</w:t>
            </w:r>
          </w:p>
          <w:p>
            <w:pPr>
              <w:spacing w:line="50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（3）物料投料</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输送</w:t>
            </w:r>
            <w:r>
              <w:rPr>
                <w:rFonts w:hint="eastAsia"/>
                <w:color w:val="000000" w:themeColor="text1"/>
                <w:kern w:val="0"/>
                <w:sz w:val="24"/>
                <w14:textFill>
                  <w14:solidFill>
                    <w14:schemeClr w14:val="tx1"/>
                  </w14:solidFill>
                </w14:textFill>
              </w:rPr>
              <w:t>过程</w:t>
            </w:r>
            <w:r>
              <w:rPr>
                <w:color w:val="000000" w:themeColor="text1"/>
                <w:kern w:val="0"/>
                <w:sz w:val="24"/>
                <w14:textFill>
                  <w14:solidFill>
                    <w14:schemeClr w14:val="tx1"/>
                  </w14:solidFill>
                </w14:textFill>
              </w:rPr>
              <w:t>中产生的粉尘</w:t>
            </w:r>
          </w:p>
          <w:p>
            <w:pPr>
              <w:widowControl w:val="0"/>
              <w:autoSpaceDE w:val="0"/>
              <w:autoSpaceDN w:val="0"/>
              <w:adjustRightInd w:val="0"/>
              <w:spacing w:line="52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整个生产过程均在密闭的生产车间内进行，本项目水泥、外加剂等粉状物料，通过管道经重力将粉料投放至计量料斗，整个过程在密闭的环境中进行，该过程不产生投料粉尘，本评价仅分析机制砂、石子、再生混合料投料过程中产生的起尘量。评价建议：投料口上方设置集气罩，投料过程产生的粉尘通过集气罩收集，收集的粉尘通过覆膜袋式除尘器净化处理后（净化效率99.5%），尾气通过1根15m高排气筒排放（DA001）。该工段设置1台风量为20000m</w:t>
            </w:r>
            <w:r>
              <w:rPr>
                <w:bCs/>
                <w:color w:val="000000" w:themeColor="text1"/>
                <w:kern w:val="0"/>
                <w:sz w:val="24"/>
                <w:vertAlign w:val="superscript"/>
                <w14:textFill>
                  <w14:solidFill>
                    <w14:schemeClr w14:val="tx1"/>
                  </w14:solidFill>
                </w14:textFill>
              </w:rPr>
              <w:t>3</w:t>
            </w:r>
            <w:r>
              <w:rPr>
                <w:bCs/>
                <w:color w:val="000000" w:themeColor="text1"/>
                <w:kern w:val="0"/>
                <w:sz w:val="24"/>
                <w14:textFill>
                  <w14:solidFill>
                    <w14:schemeClr w14:val="tx1"/>
                  </w14:solidFill>
                </w14:textFill>
              </w:rPr>
              <w:t>/h的风机，工作时间按2400h计。</w:t>
            </w:r>
          </w:p>
          <w:p>
            <w:pPr>
              <w:widowControl w:val="0"/>
              <w:autoSpaceDE w:val="0"/>
              <w:autoSpaceDN w:val="0"/>
              <w:adjustRightInd w:val="0"/>
              <w:spacing w:line="52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逸散性工业粉尘控制技术》表22-1装水泥、砂和粒料入称料斗产尘系数，即0.01kg/t原料，项目使用机制砂、石子、再生混合料共48.7万t/a，投料量为48.7万t/a，则投料产生的粉尘量为4.87t/a，集气罩集气效率为90%，则经收集后有组织粉尘产生量为4.383t/a，排放量为0.0219t/a</w:t>
            </w:r>
            <w:r>
              <w:rPr>
                <w:rFonts w:hint="eastAsia"/>
                <w:bCs/>
                <w:color w:val="000000" w:themeColor="text1"/>
                <w:sz w:val="24"/>
                <w14:textFill>
                  <w14:solidFill>
                    <w14:schemeClr w14:val="tx1"/>
                  </w14:solidFill>
                </w14:textFill>
              </w:rPr>
              <w:t>。</w:t>
            </w:r>
            <w:r>
              <w:rPr>
                <w:bCs/>
                <w:color w:val="000000" w:themeColor="text1"/>
                <w:kern w:val="0"/>
                <w:sz w:val="24"/>
                <w14:textFill>
                  <w14:solidFill>
                    <w14:schemeClr w14:val="tx1"/>
                  </w14:solidFill>
                </w14:textFill>
              </w:rPr>
              <w:t xml:space="preserve"> </w:t>
            </w:r>
          </w:p>
          <w:p>
            <w:pPr>
              <w:widowControl w:val="0"/>
              <w:autoSpaceDE w:val="0"/>
              <w:autoSpaceDN w:val="0"/>
              <w:adjustRightInd w:val="0"/>
              <w:spacing w:line="520" w:lineRule="exact"/>
              <w:ind w:firstLine="480" w:firstLineChars="200"/>
              <w:jc w:val="both"/>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无组织粉尘产生量为0.487t/a，经采取喷淋及车间阻隔等措施，可以有效的减少该工段无组织粉尘排放量（可削减无组织粉尘90%），将无组织排放的粉尘控制在车间内部，无组织粉尘排放量为0.0487t/a。</w:t>
            </w:r>
          </w:p>
          <w:p>
            <w:pPr>
              <w:spacing w:line="500" w:lineRule="exact"/>
              <w:ind w:firstLine="480" w:firstLineChars="200"/>
              <w:jc w:val="both"/>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皮带输运中转过程中廊道全密闭处理，中转点会有物料落差，期间会产生粉尘，皮带中转过程会产生一定量粉尘，</w:t>
            </w:r>
            <w:r>
              <w:rPr>
                <w:color w:val="000000" w:themeColor="text1"/>
                <w:sz w:val="24"/>
                <w14:textFill>
                  <w14:solidFill>
                    <w14:schemeClr w14:val="tx1"/>
                  </w14:solidFill>
                </w14:textFill>
              </w:rPr>
              <w:t>提升过程产生粉尘的点位：石子、减水剂、水泥经提升机提升至计量仓。</w:t>
            </w:r>
          </w:p>
          <w:p>
            <w:pPr>
              <w:spacing w:line="50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评价建议：皮带中转点</w:t>
            </w:r>
            <w:r>
              <w:rPr>
                <w:rFonts w:hint="eastAsia"/>
                <w:color w:val="000000" w:themeColor="text1"/>
                <w:kern w:val="0"/>
                <w:sz w:val="24"/>
                <w14:textFill>
                  <w14:solidFill>
                    <w14:schemeClr w14:val="tx1"/>
                  </w14:solidFill>
                </w14:textFill>
              </w:rPr>
              <w:t>过程中密闭收集</w:t>
            </w:r>
            <w:r>
              <w:rPr>
                <w:bCs/>
                <w:color w:val="000000" w:themeColor="text1"/>
                <w:kern w:val="0"/>
                <w:sz w:val="24"/>
                <w14:textFill>
                  <w14:solidFill>
                    <w14:schemeClr w14:val="tx1"/>
                  </w14:solidFill>
                </w14:textFill>
              </w:rPr>
              <w:t>，提升机提升过程产生的粉尘通过</w:t>
            </w:r>
            <w:r>
              <w:rPr>
                <w:rFonts w:hint="eastAsia"/>
                <w:bCs/>
                <w:color w:val="000000" w:themeColor="text1"/>
                <w:kern w:val="0"/>
                <w:sz w:val="24"/>
                <w14:textFill>
                  <w14:solidFill>
                    <w14:schemeClr w14:val="tx1"/>
                  </w14:solidFill>
                </w14:textFill>
              </w:rPr>
              <w:t>密闭</w:t>
            </w:r>
            <w:r>
              <w:rPr>
                <w:bCs/>
                <w:color w:val="000000" w:themeColor="text1"/>
                <w:kern w:val="0"/>
                <w:sz w:val="24"/>
                <w14:textFill>
                  <w14:solidFill>
                    <w14:schemeClr w14:val="tx1"/>
                  </w14:solidFill>
                </w14:textFill>
              </w:rPr>
              <w:t>收集，收集的粉尘通过覆膜袋式除尘器净化处理后（净化效率99.5%），尾气通过1根15m高排气筒排放（</w:t>
            </w:r>
            <w:r>
              <w:rPr>
                <w:rFonts w:hint="eastAsia"/>
                <w:bCs/>
                <w:color w:val="000000" w:themeColor="text1"/>
                <w:kern w:val="0"/>
                <w:sz w:val="24"/>
                <w14:textFill>
                  <w14:solidFill>
                    <w14:schemeClr w14:val="tx1"/>
                  </w14:solidFill>
                </w14:textFill>
              </w:rPr>
              <w:t>与投料工段共用排气筒</w:t>
            </w:r>
            <w:r>
              <w:rPr>
                <w:bCs/>
                <w:color w:val="000000" w:themeColor="text1"/>
                <w:kern w:val="0"/>
                <w:sz w:val="24"/>
                <w14:textFill>
                  <w14:solidFill>
                    <w14:schemeClr w14:val="tx1"/>
                  </w14:solidFill>
                </w14:textFill>
              </w:rPr>
              <w:t>DA001）。</w:t>
            </w:r>
          </w:p>
          <w:p>
            <w:pPr>
              <w:widowControl w:val="0"/>
              <w:autoSpaceDE w:val="0"/>
              <w:autoSpaceDN w:val="0"/>
              <w:adjustRightInd w:val="0"/>
              <w:spacing w:line="520" w:lineRule="exact"/>
              <w:ind w:firstLine="480" w:firstLineChars="200"/>
              <w:jc w:val="both"/>
              <w:rPr>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w:t>
            </w:r>
            <w:r>
              <w:rPr>
                <w:bCs/>
                <w:color w:val="000000" w:themeColor="text1"/>
                <w:kern w:val="0"/>
                <w:sz w:val="24"/>
                <w14:textFill>
                  <w14:solidFill>
                    <w14:schemeClr w14:val="tx1"/>
                  </w14:solidFill>
                </w14:textFill>
              </w:rPr>
              <w:t>据《第二次全国污染源普查产排污量核算系数手册》3021水泥制品制造-混凝土制品物料输送产尘系数，即0.13kg/t产品，项目每年产品约为</w:t>
            </w:r>
            <w:r>
              <w:rPr>
                <w:rFonts w:hint="eastAsia"/>
                <w:bCs/>
                <w:color w:val="000000" w:themeColor="text1"/>
                <w:kern w:val="0"/>
                <w:sz w:val="24"/>
                <w14:textFill>
                  <w14:solidFill>
                    <w14:schemeClr w14:val="tx1"/>
                  </w14:solidFill>
                </w14:textFill>
              </w:rPr>
              <w:t>5</w:t>
            </w:r>
            <w:r>
              <w:rPr>
                <w:bCs/>
                <w:color w:val="000000" w:themeColor="text1"/>
                <w:kern w:val="0"/>
                <w:sz w:val="24"/>
                <w14:textFill>
                  <w14:solidFill>
                    <w14:schemeClr w14:val="tx1"/>
                  </w14:solidFill>
                </w14:textFill>
              </w:rPr>
              <w:t>8.52万t（</w:t>
            </w:r>
            <w:r>
              <w:rPr>
                <w:color w:val="000000" w:themeColor="text1"/>
                <w:sz w:val="24"/>
                <w14:textFill>
                  <w14:solidFill>
                    <w14:schemeClr w14:val="tx1"/>
                  </w14:solidFill>
                </w14:textFill>
              </w:rPr>
              <w:t>装配式砼预制构件16万m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/a，泡沫沥青厂拌新型材料20万t/a</w:t>
            </w:r>
            <w:r>
              <w:rPr>
                <w:bCs/>
                <w:color w:val="000000" w:themeColor="text1"/>
                <w:kern w:val="0"/>
                <w:sz w:val="24"/>
                <w14:textFill>
                  <w14:solidFill>
                    <w14:schemeClr w14:val="tx1"/>
                  </w14:solidFill>
                </w14:textFill>
              </w:rPr>
              <w:t>），则</w:t>
            </w:r>
            <w:r>
              <w:rPr>
                <w:color w:val="000000" w:themeColor="text1"/>
                <w:kern w:val="0"/>
                <w:sz w:val="24"/>
                <w14:textFill>
                  <w14:solidFill>
                    <w14:schemeClr w14:val="tx1"/>
                  </w14:solidFill>
                </w14:textFill>
              </w:rPr>
              <w:t>物料输送过程粉尘产生量为74.854t/a，物料输送过程皮带廊道和提升机</w:t>
            </w:r>
            <w:r>
              <w:rPr>
                <w:bCs/>
                <w:color w:val="000000" w:themeColor="text1"/>
                <w:kern w:val="0"/>
                <w:sz w:val="24"/>
                <w14:textFill>
                  <w14:solidFill>
                    <w14:schemeClr w14:val="tx1"/>
                  </w14:solidFill>
                </w14:textFill>
              </w:rPr>
              <w:t>密闭处理，收集效率为100%，则经收集后有组织粉尘产生量为</w:t>
            </w:r>
            <w:r>
              <w:rPr>
                <w:color w:val="000000" w:themeColor="text1"/>
                <w:kern w:val="0"/>
                <w:sz w:val="24"/>
                <w14:textFill>
                  <w14:solidFill>
                    <w14:schemeClr w14:val="tx1"/>
                  </w14:solidFill>
                </w14:textFill>
              </w:rPr>
              <w:t>74.854</w:t>
            </w:r>
            <w:r>
              <w:rPr>
                <w:bCs/>
                <w:color w:val="000000" w:themeColor="text1"/>
                <w:kern w:val="0"/>
                <w:sz w:val="24"/>
                <w14:textFill>
                  <w14:solidFill>
                    <w14:schemeClr w14:val="tx1"/>
                  </w14:solidFill>
                </w14:textFill>
              </w:rPr>
              <w:t>t/a，排放量为0.3803t/a</w:t>
            </w:r>
            <w:r>
              <w:rPr>
                <w:rFonts w:hint="eastAsia"/>
                <w:bCs/>
                <w:color w:val="000000" w:themeColor="text1"/>
                <w:sz w:val="24"/>
                <w14:textFill>
                  <w14:solidFill>
                    <w14:schemeClr w14:val="tx1"/>
                  </w14:solidFill>
                </w14:textFill>
              </w:rPr>
              <w:t>。</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）料仓顶部呼吸孔产生的粉尘</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水泥、减水剂运输罐车利用自带空气泵将物料送至料仓时会产生一部分粉尘。评价建议：项目料仓呼吸孔产生的粉尘经覆膜袋式除尘器（除尘效率为99.5%）对粉尘进行处理，并最终经1根15m高排气筒排放（DA003）。本项目年用水泥及石粉量为6</w:t>
            </w:r>
            <w:r>
              <w:rPr>
                <w:color w:val="000000" w:themeColor="text1"/>
                <w:kern w:val="0"/>
                <w:sz w:val="24"/>
                <w14:textFill>
                  <w14:solidFill>
                    <w14:schemeClr w14:val="tx1"/>
                  </w14:solidFill>
                </w14:textFill>
              </w:rPr>
              <w:t>54</w:t>
            </w:r>
            <w:r>
              <w:rPr>
                <w:rFonts w:hint="eastAsia"/>
                <w:color w:val="000000" w:themeColor="text1"/>
                <w:kern w:val="0"/>
                <w:sz w:val="24"/>
                <w14:textFill>
                  <w14:solidFill>
                    <w14:schemeClr w14:val="tx1"/>
                  </w14:solidFill>
                </w14:textFill>
              </w:rPr>
              <w:t>00t，使用罐车运输，共用罐车2</w:t>
            </w:r>
            <w:r>
              <w:rPr>
                <w:color w:val="000000" w:themeColor="text1"/>
                <w:kern w:val="0"/>
                <w:sz w:val="24"/>
                <w14:textFill>
                  <w14:solidFill>
                    <w14:schemeClr w14:val="tx1"/>
                  </w14:solidFill>
                </w14:textFill>
              </w:rPr>
              <w:t>180</w:t>
            </w:r>
            <w:r>
              <w:rPr>
                <w:rFonts w:hint="eastAsia"/>
                <w:color w:val="000000" w:themeColor="text1"/>
                <w:kern w:val="0"/>
                <w:sz w:val="24"/>
                <w14:textFill>
                  <w14:solidFill>
                    <w14:schemeClr w14:val="tx1"/>
                  </w14:solidFill>
                </w14:textFill>
              </w:rPr>
              <w:t>辆次，每次罐车卸货时间约为15分钟，则筒库年装货时间约5</w:t>
            </w:r>
            <w:r>
              <w:rPr>
                <w:color w:val="000000" w:themeColor="text1"/>
                <w:kern w:val="0"/>
                <w:sz w:val="24"/>
                <w14:textFill>
                  <w14:solidFill>
                    <w14:schemeClr w14:val="tx1"/>
                  </w14:solidFill>
                </w14:textFill>
              </w:rPr>
              <w:t>45</w:t>
            </w:r>
            <w:r>
              <w:rPr>
                <w:rFonts w:hint="eastAsia"/>
                <w:color w:val="000000" w:themeColor="text1"/>
                <w:kern w:val="0"/>
                <w:sz w:val="24"/>
                <w14:textFill>
                  <w14:solidFill>
                    <w14:schemeClr w14:val="tx1"/>
                  </w14:solidFill>
                </w14:textFill>
              </w:rPr>
              <w:t>h，除尘器安装在库顶上方，排气筒高15m，,配备1台风量为8000m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/h的风机。</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根据《逸散性工业粉尘控制技术》表22-1贮仓排气过程产尘系数，确定料仓顶部呼吸孔粉尘产生系数为0.12kg/t</w:t>
            </w:r>
            <w:r>
              <w:rPr>
                <w:rFonts w:hint="eastAsia"/>
                <w:color w:val="000000" w:themeColor="text1"/>
                <w:kern w:val="0"/>
                <w:sz w:val="24"/>
                <w14:textFill>
                  <w14:solidFill>
                    <w14:schemeClr w14:val="tx1"/>
                  </w14:solidFill>
                </w14:textFill>
              </w:rPr>
              <w:t>产品</w:t>
            </w:r>
            <w:r>
              <w:rPr>
                <w:color w:val="000000" w:themeColor="text1"/>
                <w:kern w:val="0"/>
                <w:sz w:val="24"/>
                <w14:textFill>
                  <w14:solidFill>
                    <w14:schemeClr w14:val="tx1"/>
                  </w14:solidFill>
                </w14:textFill>
              </w:rPr>
              <w:t>，物料在料仓内的储存量合计约</w:t>
            </w:r>
            <w:r>
              <w:rPr>
                <w:rFonts w:hint="eastAsia"/>
                <w:color w:val="000000" w:themeColor="text1"/>
                <w:kern w:val="0"/>
                <w:sz w:val="24"/>
                <w14:textFill>
                  <w14:solidFill>
                    <w14:schemeClr w14:val="tx1"/>
                  </w14:solidFill>
                </w14:textFill>
              </w:rPr>
              <w:t>6</w:t>
            </w:r>
            <w:r>
              <w:rPr>
                <w:color w:val="000000" w:themeColor="text1"/>
                <w:kern w:val="0"/>
                <w:sz w:val="24"/>
                <w14:textFill>
                  <w14:solidFill>
                    <w14:schemeClr w14:val="tx1"/>
                  </w14:solidFill>
                </w14:textFill>
              </w:rPr>
              <w:t>.54万t/a(水泥6.4万t/a，减水剂0.14万t/a)则粉尘产生量为</w:t>
            </w:r>
            <w:r>
              <w:rPr>
                <w:rFonts w:hint="eastAsia"/>
                <w:color w:val="000000" w:themeColor="text1"/>
                <w:kern w:val="0"/>
                <w:sz w:val="24"/>
                <w14:textFill>
                  <w14:solidFill>
                    <w14:schemeClr w14:val="tx1"/>
                  </w14:solidFill>
                </w14:textFill>
              </w:rPr>
              <w:t>7</w:t>
            </w:r>
            <w:r>
              <w:rPr>
                <w:color w:val="000000" w:themeColor="text1"/>
                <w:kern w:val="0"/>
                <w:sz w:val="24"/>
                <w14:textFill>
                  <w14:solidFill>
                    <w14:schemeClr w14:val="tx1"/>
                  </w14:solidFill>
                </w14:textFill>
              </w:rPr>
              <w:t>.848t/a，生产过程密闭收集，则经收集后有组织粉尘产生量为</w:t>
            </w:r>
            <w:r>
              <w:rPr>
                <w:rFonts w:hint="eastAsia"/>
                <w:color w:val="000000" w:themeColor="text1"/>
                <w:kern w:val="0"/>
                <w:sz w:val="24"/>
                <w14:textFill>
                  <w14:solidFill>
                    <w14:schemeClr w14:val="tx1"/>
                  </w14:solidFill>
                </w14:textFill>
              </w:rPr>
              <w:t>7</w:t>
            </w:r>
            <w:r>
              <w:rPr>
                <w:color w:val="000000" w:themeColor="text1"/>
                <w:kern w:val="0"/>
                <w:sz w:val="24"/>
                <w14:textFill>
                  <w14:solidFill>
                    <w14:schemeClr w14:val="tx1"/>
                  </w14:solidFill>
                </w14:textFill>
              </w:rPr>
              <w:t>.848t/a，排放量为0.0392t/a，排放浓度为9mg/m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，排放速率为0.072kg/h。</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）搅拌过程中产生的粉尘</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项目搅拌过程全密闭处理，评价建议，搅拌过程中使用</w:t>
            </w:r>
            <w:r>
              <w:rPr>
                <w:bCs/>
                <w:color w:val="000000" w:themeColor="text1"/>
                <w:kern w:val="0"/>
                <w:sz w:val="24"/>
                <w14:textFill>
                  <w14:solidFill>
                    <w14:schemeClr w14:val="tx1"/>
                  </w14:solidFill>
                </w14:textFill>
              </w:rPr>
              <w:t>覆膜</w:t>
            </w:r>
            <w:r>
              <w:rPr>
                <w:color w:val="000000" w:themeColor="text1"/>
                <w:kern w:val="0"/>
                <w:sz w:val="24"/>
                <w14:textFill>
                  <w14:solidFill>
                    <w14:schemeClr w14:val="tx1"/>
                  </w14:solidFill>
                </w14:textFill>
              </w:rPr>
              <w:t>袋式除尘器</w:t>
            </w:r>
            <w:r>
              <w:rPr>
                <w:rFonts w:hint="eastAsia"/>
                <w:color w:val="000000" w:themeColor="text1"/>
                <w:kern w:val="0"/>
                <w:sz w:val="24"/>
                <w14:textFill>
                  <w14:solidFill>
                    <w14:schemeClr w14:val="tx1"/>
                  </w14:solidFill>
                </w14:textFill>
              </w:rPr>
              <w:t>处理</w:t>
            </w:r>
            <w:r>
              <w:rPr>
                <w:color w:val="000000" w:themeColor="text1"/>
                <w:kern w:val="0"/>
                <w:sz w:val="24"/>
                <w14:textFill>
                  <w14:solidFill>
                    <w14:schemeClr w14:val="tx1"/>
                  </w14:solidFill>
                </w14:textFill>
              </w:rPr>
              <w:t>粉尘，净化效率为99.5%，其中1#</w:t>
            </w:r>
            <w:r>
              <w:rPr>
                <w:color w:val="000000" w:themeColor="text1"/>
                <w:sz w:val="24"/>
                <w14:textFill>
                  <w14:solidFill>
                    <w14:schemeClr w14:val="tx1"/>
                  </w14:solidFill>
                </w14:textFill>
              </w:rPr>
              <w:t>预制构件生产线搅拌废气经</w:t>
            </w:r>
            <w:r>
              <w:rPr>
                <w:bCs/>
                <w:color w:val="000000" w:themeColor="text1"/>
                <w:kern w:val="0"/>
                <w:sz w:val="24"/>
                <w14:textFill>
                  <w14:solidFill>
                    <w14:schemeClr w14:val="tx1"/>
                  </w14:solidFill>
                </w14:textFill>
              </w:rPr>
              <w:t>覆膜</w:t>
            </w:r>
            <w:r>
              <w:rPr>
                <w:color w:val="000000" w:themeColor="text1"/>
                <w:kern w:val="0"/>
                <w:sz w:val="24"/>
                <w14:textFill>
                  <w14:solidFill>
                    <w14:schemeClr w14:val="tx1"/>
                  </w14:solidFill>
                </w14:textFill>
              </w:rPr>
              <w:t>袋式除尘器处理后尾气通过15m排气筒排放（DA004），设置1台风量为10000m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/h的风机，工作时间按2400h计；2#</w:t>
            </w:r>
            <w:r>
              <w:rPr>
                <w:color w:val="000000" w:themeColor="text1"/>
                <w:sz w:val="24"/>
                <w14:textFill>
                  <w14:solidFill>
                    <w14:schemeClr w14:val="tx1"/>
                  </w14:solidFill>
                </w14:textFill>
              </w:rPr>
              <w:t>预制构件生产线搅拌废气经</w:t>
            </w:r>
            <w:r>
              <w:rPr>
                <w:bCs/>
                <w:color w:val="000000" w:themeColor="text1"/>
                <w:kern w:val="0"/>
                <w:sz w:val="24"/>
                <w14:textFill>
                  <w14:solidFill>
                    <w14:schemeClr w14:val="tx1"/>
                  </w14:solidFill>
                </w14:textFill>
              </w:rPr>
              <w:t>覆膜</w:t>
            </w:r>
            <w:r>
              <w:rPr>
                <w:color w:val="000000" w:themeColor="text1"/>
                <w:kern w:val="0"/>
                <w:sz w:val="24"/>
                <w14:textFill>
                  <w14:solidFill>
                    <w14:schemeClr w14:val="tx1"/>
                  </w14:solidFill>
                </w14:textFill>
              </w:rPr>
              <w:t>袋式除尘器处理后尾气通过15m排气筒排放（DA005），设置1台风量为10000m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/h的风机，工作时间按2400h计；</w:t>
            </w:r>
            <w:r>
              <w:rPr>
                <w:color w:val="000000" w:themeColor="text1"/>
                <w:sz w:val="24"/>
                <w14:textFill>
                  <w14:solidFill>
                    <w14:schemeClr w14:val="tx1"/>
                  </w14:solidFill>
                </w14:textFill>
              </w:rPr>
              <w:t>冷拌沥青材料生产线搅拌废气经</w:t>
            </w:r>
            <w:r>
              <w:rPr>
                <w:bCs/>
                <w:color w:val="000000" w:themeColor="text1"/>
                <w:kern w:val="0"/>
                <w:sz w:val="24"/>
                <w14:textFill>
                  <w14:solidFill>
                    <w14:schemeClr w14:val="tx1"/>
                  </w14:solidFill>
                </w14:textFill>
              </w:rPr>
              <w:t>覆膜</w:t>
            </w:r>
            <w:r>
              <w:rPr>
                <w:color w:val="000000" w:themeColor="text1"/>
                <w:kern w:val="0"/>
                <w:sz w:val="24"/>
                <w14:textFill>
                  <w14:solidFill>
                    <w14:schemeClr w14:val="tx1"/>
                  </w14:solidFill>
                </w14:textFill>
              </w:rPr>
              <w:t>袋式除尘器处理后尾气通过15m排气筒排放（DA006），设置1台风量为10000m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/h的风机，工作时间按2400h计。</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根据《第二次全国污染源普查产排污量核算系数手册》3021水泥制品制造-混凝土制品物料搅拌产尘系数，即0.166kg/t产品，项目每年产品约为58.52万t（1#装配式砼预制构件8万m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/a，2#装配式砼预制构件8万m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/a，泡沫沥青厂拌新型材料20万t/a），则搅拌过程1#装配式砼预制构件生产线粉尘产生量为31.97t/a，排放量为0.1599t/a，排放浓度为6.7mg/m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，排放速率为0.0666kg/h；2#装配式砼预制构件生产线粉尘产生量为</w:t>
            </w:r>
            <w:r>
              <w:rPr>
                <w:rFonts w:hint="eastAsia"/>
                <w:color w:val="000000" w:themeColor="text1"/>
                <w:kern w:val="0"/>
                <w:sz w:val="24"/>
                <w14:textFill>
                  <w14:solidFill>
                    <w14:schemeClr w14:val="tx1"/>
                  </w14:solidFill>
                </w14:textFill>
              </w:rPr>
              <w:t>31.97t/a，排放量为0.1599t/a，排放浓度为6.7mg/m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，排放速率为0.0666kg/h</w:t>
            </w:r>
            <w:r>
              <w:rPr>
                <w:color w:val="000000" w:themeColor="text1"/>
                <w:kern w:val="0"/>
                <w:sz w:val="24"/>
                <w14:textFill>
                  <w14:solidFill>
                    <w14:schemeClr w14:val="tx1"/>
                  </w14:solidFill>
                </w14:textFill>
              </w:rPr>
              <w:t>；冷拌沥青材料生产线粉尘产生量为33.2t/a，排放量为0.166t/a，排放浓度为6.9mg/m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，排放速率为0.0692kg/h。</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6</w:t>
            </w:r>
            <w:r>
              <w:rPr>
                <w:color w:val="000000" w:themeColor="text1"/>
                <w:kern w:val="0"/>
                <w:sz w:val="24"/>
                <w14:textFill>
                  <w14:solidFill>
                    <w14:schemeClr w14:val="tx1"/>
                  </w14:solidFill>
                </w14:textFill>
              </w:rPr>
              <w:t>）燃气锅炉烟气</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燃气锅炉燃料为天然气，使用天然气槽车运输至厂内，项目配备1台5t/h的燃气锅炉。根据项目水平衡可知，蒸压养护过程蒸汽消耗量约为12000t/a，则燃气锅炉年工作时间约为2400h/a，燃气锅炉天然气用量约为84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/a。项目锅炉采用低氮燃烧器，燃烧尾气通过8m高排气筒</w:t>
            </w:r>
            <w:r>
              <w:rPr>
                <w:color w:val="000000" w:themeColor="text1"/>
                <w:sz w:val="24"/>
                <w14:textFill>
                  <w14:solidFill>
                    <w14:schemeClr w14:val="tx1"/>
                  </w14:solidFill>
                </w14:textFill>
              </w:rPr>
              <w:t>（高出车间3m以上）</w:t>
            </w:r>
            <w:r>
              <w:rPr>
                <w:color w:val="000000" w:themeColor="text1"/>
                <w:kern w:val="0"/>
                <w:sz w:val="24"/>
                <w14:textFill>
                  <w14:solidFill>
                    <w14:schemeClr w14:val="tx1"/>
                  </w14:solidFill>
                </w14:textFill>
              </w:rPr>
              <w:t>排放（DA007），废气主要污染物为SO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、NO</w:t>
            </w:r>
            <w:r>
              <w:rPr>
                <w:color w:val="000000" w:themeColor="text1"/>
                <w:kern w:val="0"/>
                <w:sz w:val="24"/>
                <w:vertAlign w:val="subscript"/>
                <w14:textFill>
                  <w14:solidFill>
                    <w14:schemeClr w14:val="tx1"/>
                  </w14:solidFill>
                </w14:textFill>
              </w:rPr>
              <w:t>X</w:t>
            </w:r>
            <w:r>
              <w:rPr>
                <w:color w:val="000000" w:themeColor="text1"/>
                <w:kern w:val="0"/>
                <w:sz w:val="24"/>
                <w14:textFill>
                  <w14:solidFill>
                    <w14:schemeClr w14:val="tx1"/>
                  </w14:solidFill>
                </w14:textFill>
              </w:rPr>
              <w:t>、颗粒物。</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根据《第二次全国污染源普查产排污量核算系数手册》（2019年4月9日）中4430 工业锅炉（热力生产和供应行业）产污系数表-燃气工业锅炉可知，天然气锅炉工业废气量产污系数为107753标立方米/万立方米-原料，燃气锅炉天然气用量为84万m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/a，则项目燃气锅炉产生的工业废气量为905.1252万m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根据《天然气》（GB17820-2018）表1可知，天然气中总硫（以硫计）含量应小于等于20mg/m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，本次评价取最大值20mg/m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p>
          <w:p>
            <w:pPr>
              <w:adjustRightInd w:val="0"/>
              <w:snapToGrid w:val="0"/>
              <w:spacing w:line="52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根据《第二次全国污染源普查产排污量核算系数手册》中4430 工业锅炉（热力生产和供应行业）产污系数表-燃气工业锅炉进行计算，其中SO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产污系数为0.02S千克/万立方米-原料（S为含硫量，取20mg/m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），即为0.4千克/万立方米-原料；项目NO</w:t>
            </w:r>
            <w:r>
              <w:rPr>
                <w:color w:val="000000" w:themeColor="text1"/>
                <w:kern w:val="0"/>
                <w:sz w:val="24"/>
                <w:vertAlign w:val="subscript"/>
                <w14:textFill>
                  <w14:solidFill>
                    <w14:schemeClr w14:val="tx1"/>
                  </w14:solidFill>
                </w14:textFill>
              </w:rPr>
              <w:t>X</w:t>
            </w:r>
            <w:r>
              <w:rPr>
                <w:color w:val="000000" w:themeColor="text1"/>
                <w:kern w:val="0"/>
                <w:sz w:val="24"/>
                <w14:textFill>
                  <w14:solidFill>
                    <w14:schemeClr w14:val="tx1"/>
                  </w14:solidFill>
                </w14:textFill>
              </w:rPr>
              <w:t>应采用低氮燃烧-国际领先技术，NO</w:t>
            </w:r>
            <w:r>
              <w:rPr>
                <w:color w:val="000000" w:themeColor="text1"/>
                <w:kern w:val="0"/>
                <w:sz w:val="24"/>
                <w:vertAlign w:val="subscript"/>
                <w14:textFill>
                  <w14:solidFill>
                    <w14:schemeClr w14:val="tx1"/>
                  </w14:solidFill>
                </w14:textFill>
              </w:rPr>
              <w:t>X</w:t>
            </w:r>
            <w:r>
              <w:rPr>
                <w:color w:val="000000" w:themeColor="text1"/>
                <w:kern w:val="0"/>
                <w:sz w:val="24"/>
                <w14:textFill>
                  <w14:solidFill>
                    <w14:schemeClr w14:val="tx1"/>
                  </w14:solidFill>
                </w14:textFill>
              </w:rPr>
              <w:t>的产污系数为3.03千克/万立方米-原料；</w:t>
            </w:r>
            <w:r>
              <w:rPr>
                <w:bCs/>
                <w:color w:val="000000" w:themeColor="text1"/>
                <w:spacing w:val="-10"/>
                <w:sz w:val="24"/>
                <w14:textFill>
                  <w14:solidFill>
                    <w14:schemeClr w14:val="tx1"/>
                  </w14:solidFill>
                </w14:textFill>
              </w:rPr>
              <w:t>详情见下表所示。</w:t>
            </w:r>
          </w:p>
          <w:p>
            <w:pPr>
              <w:widowControl w:val="0"/>
              <w:numPr>
                <w:ilvl w:val="0"/>
                <w:numId w:val="3"/>
              </w:numPr>
              <w:adjustRightInd w:val="0"/>
              <w:snapToGrid w:val="0"/>
              <w:jc w:val="center"/>
              <w:rPr>
                <w:b/>
                <w:bCs/>
                <w:color w:val="000000" w:themeColor="text1"/>
                <w:szCs w:val="21"/>
                <w14:textFill>
                  <w14:solidFill>
                    <w14:schemeClr w14:val="tx1"/>
                  </w14:solidFill>
                </w14:textFill>
              </w:rPr>
            </w:pPr>
            <w:r>
              <w:rPr>
                <w:b/>
                <w:bCs/>
                <w:color w:val="000000" w:themeColor="text1"/>
                <w:sz w:val="18"/>
                <w:szCs w:val="18"/>
                <w14:textFill>
                  <w14:solidFill>
                    <w14:schemeClr w14:val="tx1"/>
                  </w14:solidFill>
                </w14:textFill>
              </w:rPr>
              <w:t xml:space="preserve">   </w:t>
            </w:r>
            <w:r>
              <w:rPr>
                <w:b/>
                <w:bCs/>
                <w:color w:val="000000" w:themeColor="text1"/>
                <w:szCs w:val="21"/>
                <w14:textFill>
                  <w14:solidFill>
                    <w14:schemeClr w14:val="tx1"/>
                  </w14:solidFill>
                </w14:textFill>
              </w:rPr>
              <w:t>天然气燃烧烟气污染物排放情况一览表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455"/>
              <w:gridCol w:w="2679"/>
              <w:gridCol w:w="1336"/>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序号</w:t>
                  </w:r>
                </w:p>
              </w:tc>
              <w:tc>
                <w:tcPr>
                  <w:tcW w:w="1455"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污染物指标</w:t>
                  </w:r>
                </w:p>
              </w:tc>
              <w:tc>
                <w:tcPr>
                  <w:tcW w:w="2679"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产物系数</w:t>
                  </w:r>
                </w:p>
              </w:tc>
              <w:tc>
                <w:tcPr>
                  <w:tcW w:w="1336"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产生量</w:t>
                  </w:r>
                </w:p>
              </w:tc>
              <w:tc>
                <w:tcPr>
                  <w:tcW w:w="1561"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455"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工业废气量</w:t>
                  </w:r>
                </w:p>
              </w:tc>
              <w:tc>
                <w:tcPr>
                  <w:tcW w:w="2679"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107753m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/万m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-原料</w:t>
                  </w:r>
                </w:p>
              </w:tc>
              <w:tc>
                <w:tcPr>
                  <w:tcW w:w="1336"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9051252m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/a</w:t>
                  </w:r>
                </w:p>
              </w:tc>
              <w:tc>
                <w:tcPr>
                  <w:tcW w:w="1561"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455"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二氧化硫</w:t>
                  </w:r>
                </w:p>
              </w:tc>
              <w:tc>
                <w:tcPr>
                  <w:tcW w:w="2679"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0.02Skg/万m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-原料</w:t>
                  </w:r>
                </w:p>
              </w:tc>
              <w:tc>
                <w:tcPr>
                  <w:tcW w:w="1336"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0.0336t/a</w:t>
                  </w:r>
                </w:p>
              </w:tc>
              <w:tc>
                <w:tcPr>
                  <w:tcW w:w="1561"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3.7mg/m</w:t>
                  </w:r>
                  <w:r>
                    <w:rPr>
                      <w:bCs/>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455"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氮氧化物</w:t>
                  </w:r>
                </w:p>
              </w:tc>
              <w:tc>
                <w:tcPr>
                  <w:tcW w:w="2679"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3.03kg/万m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-原料</w:t>
                  </w:r>
                </w:p>
              </w:tc>
              <w:tc>
                <w:tcPr>
                  <w:tcW w:w="1336"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0.2545t/a</w:t>
                  </w:r>
                </w:p>
              </w:tc>
              <w:tc>
                <w:tcPr>
                  <w:tcW w:w="1561" w:type="dxa"/>
                  <w:shd w:val="clear" w:color="auto" w:fill="auto"/>
                  <w:vAlign w:val="center"/>
                </w:tcPr>
                <w:p>
                  <w:pPr>
                    <w:widowControl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28.1mg/m</w:t>
                  </w:r>
                  <w:r>
                    <w:rPr>
                      <w:bCs/>
                      <w:color w:val="000000" w:themeColor="text1"/>
                      <w:szCs w:val="21"/>
                      <w:vertAlign w:val="superscript"/>
                      <w14:textFill>
                        <w14:solidFill>
                          <w14:schemeClr w14:val="tx1"/>
                        </w14:solidFill>
                      </w14:textFill>
                    </w:rPr>
                    <w:t>3</w:t>
                  </w:r>
                </w:p>
              </w:tc>
            </w:tr>
          </w:tbl>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项目锅炉产生的颗粒物经类比《河南信和源实业有限公司城市综合管廊项目竣工环境保护验收监测报告》中2019 年 11月 28 日对燃气锅炉颗粒物的监测数据（该项目为2t/h燃气锅炉，与本项目燃气锅炉规模相近，</w:t>
            </w:r>
            <w:r>
              <w:rPr>
                <w:rFonts w:hint="eastAsia"/>
                <w:color w:val="000000" w:themeColor="text1"/>
                <w:kern w:val="0"/>
                <w:sz w:val="24"/>
                <w14:textFill>
                  <w14:solidFill>
                    <w14:schemeClr w14:val="tx1"/>
                  </w14:solidFill>
                </w14:textFill>
              </w:rPr>
              <w:t>蒸养</w:t>
            </w:r>
            <w:r>
              <w:rPr>
                <w:color w:val="000000" w:themeColor="text1"/>
                <w:kern w:val="0"/>
                <w:sz w:val="24"/>
                <w14:textFill>
                  <w14:solidFill>
                    <w14:schemeClr w14:val="tx1"/>
                  </w14:solidFill>
                </w14:textFill>
              </w:rPr>
              <w:t>工艺相同，具有可比性），颗粒物排放浓度为4.3~4.9mg/m³，本次取大值4.9 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（根据烟气量计算颗粒物排放量为0.0444t/a）。</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综上所述，本项目天然气锅炉工段烟气中各污染物排放浓度分别为颗粒物：0.0444t/a、SO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：0.0336t/a、NOx：0.2545t/a。</w:t>
            </w:r>
          </w:p>
          <w:p>
            <w:pPr>
              <w:widowControl w:val="0"/>
              <w:autoSpaceDE w:val="0"/>
              <w:autoSpaceDN w:val="0"/>
              <w:adjustRightInd w:val="0"/>
              <w:spacing w:line="520" w:lineRule="exact"/>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项目排气筒DA007处锅炉烟气均满足《锅炉大气污染物排放标准》（DB41/2089-2021）在基准含氧量3.5%条件下，颗粒物、SO</w:t>
            </w:r>
            <w:r>
              <w:rPr>
                <w:color w:val="000000" w:themeColor="text1"/>
                <w:kern w:val="0"/>
                <w:sz w:val="24"/>
                <w:vertAlign w:val="subscript"/>
                <w14:textFill>
                  <w14:solidFill>
                    <w14:schemeClr w14:val="tx1"/>
                  </w14:solidFill>
                </w14:textFill>
              </w:rPr>
              <w:t>2</w:t>
            </w:r>
            <w:r>
              <w:rPr>
                <w:color w:val="000000" w:themeColor="text1"/>
                <w:kern w:val="0"/>
                <w:sz w:val="24"/>
                <w14:textFill>
                  <w14:solidFill>
                    <w14:schemeClr w14:val="tx1"/>
                  </w14:solidFill>
                </w14:textFill>
              </w:rPr>
              <w:t>、NO</w:t>
            </w:r>
            <w:r>
              <w:rPr>
                <w:color w:val="000000" w:themeColor="text1"/>
                <w:kern w:val="0"/>
                <w:sz w:val="24"/>
                <w:vertAlign w:val="subscript"/>
                <w14:textFill>
                  <w14:solidFill>
                    <w14:schemeClr w14:val="tx1"/>
                  </w14:solidFill>
                </w14:textFill>
              </w:rPr>
              <w:t>X</w:t>
            </w:r>
            <w:r>
              <w:rPr>
                <w:color w:val="000000" w:themeColor="text1"/>
                <w:kern w:val="0"/>
                <w:sz w:val="24"/>
                <w14:textFill>
                  <w14:solidFill>
                    <w14:schemeClr w14:val="tx1"/>
                  </w14:solidFill>
                </w14:textFill>
              </w:rPr>
              <w:t>浓度不高于5mg/m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、10mg/m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、30mg/m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的要求。</w:t>
            </w:r>
          </w:p>
          <w:p>
            <w:pPr>
              <w:pStyle w:val="14"/>
              <w:spacing w:before="0" w:beforeAutospacing="0" w:after="0" w:afterAutospacing="0" w:line="520" w:lineRule="exact"/>
              <w:ind w:firstLine="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2、废气治理措施可行性分析</w:t>
            </w:r>
          </w:p>
          <w:p>
            <w:pPr>
              <w:pStyle w:val="14"/>
              <w:spacing w:before="0" w:beforeAutospacing="0" w:after="0" w:afterAutospacing="0"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本项目投料</w:t>
            </w:r>
            <w:r>
              <w:rPr>
                <w:rFonts w:hint="eastAsia" w:ascii="Times New Roman" w:hAnsi="Times New Roman"/>
                <w:bCs/>
                <w:snapToGrid w:val="0"/>
                <w:color w:val="000000" w:themeColor="text1"/>
                <w:szCs w:val="24"/>
                <w14:textFill>
                  <w14:solidFill>
                    <w14:schemeClr w14:val="tx1"/>
                  </w14:solidFill>
                </w14:textFill>
              </w:rPr>
              <w:t>、物料输送</w:t>
            </w:r>
            <w:r>
              <w:rPr>
                <w:rFonts w:ascii="Times New Roman" w:hAnsi="Times New Roman"/>
                <w:bCs/>
                <w:snapToGrid w:val="0"/>
                <w:color w:val="000000" w:themeColor="text1"/>
                <w:szCs w:val="24"/>
                <w14:textFill>
                  <w14:solidFill>
                    <w14:schemeClr w14:val="tx1"/>
                  </w14:solidFill>
                </w14:textFill>
              </w:rPr>
              <w:t>粉尘经收集后通过覆膜袋式除尘器净化处理，尾气通过15m高排气筒(DA001)排放；</w:t>
            </w:r>
          </w:p>
          <w:p>
            <w:pPr>
              <w:pStyle w:val="14"/>
              <w:spacing w:before="0" w:beforeAutospacing="0" w:after="0" w:afterAutospacing="0"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料仓储存粉尘经收集后通过覆膜袋式除尘器净化处理，尾气通过15m高排气筒(DA002)排放；</w:t>
            </w:r>
          </w:p>
          <w:p>
            <w:pPr>
              <w:pStyle w:val="14"/>
              <w:spacing w:before="0" w:beforeAutospacing="0" w:after="0" w:afterAutospacing="0"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预制构件生产线1#搅拌粉尘经收集后通过覆膜袋式除尘器净化处理，尾气通过15m高排气筒(DA003)排放；</w:t>
            </w:r>
          </w:p>
          <w:p>
            <w:pPr>
              <w:pStyle w:val="14"/>
              <w:spacing w:before="0" w:beforeAutospacing="0" w:after="0" w:afterAutospacing="0"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预制构件生产线</w:t>
            </w:r>
            <w:r>
              <w:rPr>
                <w:rFonts w:ascii="Times New Roman" w:hAnsi="Times New Roman"/>
                <w:color w:val="000000" w:themeColor="text1"/>
                <w:szCs w:val="21"/>
                <w14:textFill>
                  <w14:solidFill>
                    <w14:schemeClr w14:val="tx1"/>
                  </w14:solidFill>
                </w14:textFill>
              </w:rPr>
              <w:t>2#搅拌</w:t>
            </w:r>
            <w:r>
              <w:rPr>
                <w:rFonts w:ascii="Times New Roman" w:hAnsi="Times New Roman"/>
                <w:bCs/>
                <w:snapToGrid w:val="0"/>
                <w:color w:val="000000" w:themeColor="text1"/>
                <w:szCs w:val="24"/>
                <w14:textFill>
                  <w14:solidFill>
                    <w14:schemeClr w14:val="tx1"/>
                  </w14:solidFill>
                </w14:textFill>
              </w:rPr>
              <w:t>粉尘经收集后通过覆膜袋式除尘器净化处理，尾气通过15m高排气筒(DA004)排放；</w:t>
            </w:r>
          </w:p>
          <w:p>
            <w:pPr>
              <w:pStyle w:val="14"/>
              <w:spacing w:before="0" w:beforeAutospacing="0" w:after="0" w:afterAutospacing="0" w:line="520" w:lineRule="exact"/>
              <w:ind w:firstLine="480" w:firstLineChars="200"/>
              <w:jc w:val="both"/>
              <w:outlineLvl w:val="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泡沫沥青厂拌新型材料3#搅拌粉尘经收集后通过覆膜袋式除尘器净化处理，尾气通过15m高排气筒(DA005)排放；</w:t>
            </w:r>
          </w:p>
          <w:p>
            <w:pPr>
              <w:pStyle w:val="14"/>
              <w:spacing w:before="0" w:beforeAutospacing="0" w:after="0" w:afterAutospacing="0" w:line="520" w:lineRule="exact"/>
              <w:ind w:firstLine="480" w:firstLineChars="200"/>
              <w:jc w:val="both"/>
              <w:outlineLvl w:val="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经查阅《排污许可证申请与核发技术规范  石墨及其他非金属矿物制品制造》（HJ1119-2020）要求，并参照《排污单位自行监测技术指南 水泥工业》（HJ848-2017），该废气治理工艺属于高效袋式除尘器处理措施，属于可行技术，因此，本项目废气治理工艺属于可行技术。</w:t>
            </w:r>
          </w:p>
          <w:p>
            <w:pPr>
              <w:pStyle w:val="14"/>
              <w:spacing w:before="0" w:beforeAutospacing="0" w:after="0" w:afterAutospacing="0" w:line="520" w:lineRule="exact"/>
              <w:ind w:firstLine="480" w:firstLineChars="200"/>
              <w:jc w:val="both"/>
              <w:outlineLvl w:val="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项目燃气锅炉采用低氮燃烧系统（低氮燃烧+烟气循环）处理后，锅炉烟气通过8m高排气筒DA006（高出车间3m以上）排放，经查阅《排污许可证申请与核发技术规范  锅炉》（HJ953-2018）可知，该废气治理工艺属于低氮燃烧，属于可行技术。</w:t>
            </w:r>
          </w:p>
          <w:p>
            <w:pPr>
              <w:pStyle w:val="14"/>
              <w:spacing w:before="0" w:beforeAutospacing="0" w:after="0" w:afterAutospacing="0" w:line="520" w:lineRule="exact"/>
              <w:ind w:firstLine="480" w:firstLineChars="200"/>
              <w:jc w:val="both"/>
              <w:outlineLvl w:val="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低氮燃烧系统：燃料分级低氮燃烧技术+烟气循环原理</w:t>
            </w:r>
          </w:p>
          <w:p>
            <w:pPr>
              <w:pStyle w:val="14"/>
              <w:spacing w:before="0" w:beforeAutospacing="0" w:after="0" w:afterAutospacing="0"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燃料分级低氮燃烧技术是利用在燃烧中已生成的NO遇到烃根和未完全燃烧产物CO、H2、C和CnHm时，会发生NO的还原反应的原理，将80%～85%的燃烧送入第一级燃烧区，在α&gt;1条件下，燃烧并生成NOX。送入一级燃料区的燃料称为一次</w:t>
            </w:r>
            <w:r>
              <w:rPr>
                <w:rFonts w:ascii="Times New Roman" w:hAnsi="Times New Roman"/>
                <w:bCs/>
                <w:snapToGrid w:val="0"/>
                <w:color w:val="000000" w:themeColor="text1"/>
                <w:szCs w:val="24"/>
                <w14:textFill>
                  <w14:solidFill>
                    <w14:schemeClr w14:val="tx1"/>
                  </w14:solidFill>
                </w14:textFill>
              </w:rPr>
              <w:t>燃料，其余15%～20%的燃料则在主燃烧器的上部送入二级燃烧区，在α&lt;1条件下形成很强的还原性气氛，使得在一级燃烧区中生成的NO</w:t>
            </w:r>
            <w:r>
              <w:rPr>
                <w:rFonts w:ascii="Times New Roman" w:hAnsi="Times New Roman"/>
                <w:bCs/>
                <w:snapToGrid w:val="0"/>
                <w:color w:val="000000" w:themeColor="text1"/>
                <w:szCs w:val="24"/>
                <w:vertAlign w:val="subscript"/>
                <w14:textFill>
                  <w14:solidFill>
                    <w14:schemeClr w14:val="tx1"/>
                  </w14:solidFill>
                </w14:textFill>
              </w:rPr>
              <w:t>X</w:t>
            </w:r>
            <w:r>
              <w:rPr>
                <w:rFonts w:ascii="Times New Roman" w:hAnsi="Times New Roman"/>
                <w:bCs/>
                <w:snapToGrid w:val="0"/>
                <w:color w:val="000000" w:themeColor="text1"/>
                <w:szCs w:val="24"/>
                <w14:textFill>
                  <w14:solidFill>
                    <w14:schemeClr w14:val="tx1"/>
                  </w14:solidFill>
                </w14:textFill>
              </w:rPr>
              <w:t>在二级燃烧区中被还原成N</w:t>
            </w:r>
            <w:r>
              <w:rPr>
                <w:rFonts w:ascii="Times New Roman" w:hAnsi="Times New Roman"/>
                <w:bCs/>
                <w:snapToGrid w:val="0"/>
                <w:color w:val="000000" w:themeColor="text1"/>
                <w:szCs w:val="24"/>
                <w:vertAlign w:val="subscript"/>
                <w14:textFill>
                  <w14:solidFill>
                    <w14:schemeClr w14:val="tx1"/>
                  </w14:solidFill>
                </w14:textFill>
              </w:rPr>
              <w:t>2</w:t>
            </w:r>
            <w:r>
              <w:rPr>
                <w:rFonts w:ascii="Times New Roman" w:hAnsi="Times New Roman"/>
                <w:bCs/>
                <w:snapToGrid w:val="0"/>
                <w:color w:val="000000" w:themeColor="text1"/>
                <w:szCs w:val="24"/>
                <w14:textFill>
                  <w14:solidFill>
                    <w14:schemeClr w14:val="tx1"/>
                  </w14:solidFill>
                </w14:textFill>
              </w:rPr>
              <w:t>，二级燃烧区又称再燃区，送入二级燃烧区中的燃料又称为二次燃料。在再燃区中不仅使得已生成的NO</w:t>
            </w:r>
            <w:r>
              <w:rPr>
                <w:rFonts w:ascii="Times New Roman" w:hAnsi="Times New Roman"/>
                <w:bCs/>
                <w:snapToGrid w:val="0"/>
                <w:color w:val="000000" w:themeColor="text1"/>
                <w:szCs w:val="24"/>
                <w:vertAlign w:val="subscript"/>
                <w14:textFill>
                  <w14:solidFill>
                    <w14:schemeClr w14:val="tx1"/>
                  </w14:solidFill>
                </w14:textFill>
              </w:rPr>
              <w:t>X</w:t>
            </w:r>
            <w:r>
              <w:rPr>
                <w:rFonts w:ascii="Times New Roman" w:hAnsi="Times New Roman"/>
                <w:bCs/>
                <w:snapToGrid w:val="0"/>
                <w:color w:val="000000" w:themeColor="text1"/>
                <w:szCs w:val="24"/>
                <w14:textFill>
                  <w14:solidFill>
                    <w14:schemeClr w14:val="tx1"/>
                  </w14:solidFill>
                </w14:textFill>
              </w:rPr>
              <w:t>得到还原，还抑制了新的NO</w:t>
            </w:r>
            <w:r>
              <w:rPr>
                <w:rFonts w:ascii="Times New Roman" w:hAnsi="Times New Roman"/>
                <w:bCs/>
                <w:snapToGrid w:val="0"/>
                <w:color w:val="000000" w:themeColor="text1"/>
                <w:szCs w:val="24"/>
                <w:vertAlign w:val="subscript"/>
                <w14:textFill>
                  <w14:solidFill>
                    <w14:schemeClr w14:val="tx1"/>
                  </w14:solidFill>
                </w14:textFill>
              </w:rPr>
              <w:t>X</w:t>
            </w:r>
            <w:r>
              <w:rPr>
                <w:rFonts w:ascii="Times New Roman" w:hAnsi="Times New Roman"/>
                <w:bCs/>
                <w:snapToGrid w:val="0"/>
                <w:color w:val="000000" w:themeColor="text1"/>
                <w:szCs w:val="24"/>
                <w14:textFill>
                  <w14:solidFill>
                    <w14:schemeClr w14:val="tx1"/>
                  </w14:solidFill>
                </w14:textFill>
              </w:rPr>
              <w:t>的生成，可使NO</w:t>
            </w:r>
            <w:r>
              <w:rPr>
                <w:rFonts w:ascii="Times New Roman" w:hAnsi="Times New Roman"/>
                <w:bCs/>
                <w:snapToGrid w:val="0"/>
                <w:color w:val="000000" w:themeColor="text1"/>
                <w:szCs w:val="24"/>
                <w:vertAlign w:val="subscript"/>
                <w14:textFill>
                  <w14:solidFill>
                    <w14:schemeClr w14:val="tx1"/>
                  </w14:solidFill>
                </w14:textFill>
              </w:rPr>
              <w:t>X</w:t>
            </w:r>
            <w:r>
              <w:rPr>
                <w:rFonts w:ascii="Times New Roman" w:hAnsi="Times New Roman"/>
                <w:bCs/>
                <w:snapToGrid w:val="0"/>
                <w:color w:val="000000" w:themeColor="text1"/>
                <w:szCs w:val="24"/>
                <w14:textFill>
                  <w14:solidFill>
                    <w14:schemeClr w14:val="tx1"/>
                  </w14:solidFill>
                </w14:textFill>
              </w:rPr>
              <w:t>的排放浓度进一步降低。</w:t>
            </w:r>
          </w:p>
          <w:p>
            <w:pPr>
              <w:pStyle w:val="14"/>
              <w:spacing w:line="520" w:lineRule="exact"/>
              <w:ind w:firstLine="480" w:firstLineChars="200"/>
              <w:jc w:val="both"/>
              <w:outlineLvl w:val="0"/>
              <w:rPr>
                <w:rFonts w:ascii="Times New Roman" w:hAnsi="Times New Roman"/>
                <w:bCs/>
                <w:snapToGrid w:val="0"/>
                <w:color w:val="000000" w:themeColor="text1"/>
                <w:szCs w:val="24"/>
                <w14:textFill>
                  <w14:solidFill>
                    <w14:schemeClr w14:val="tx1"/>
                  </w14:solidFill>
                </w14:textFill>
              </w:rPr>
            </w:pPr>
            <w:r>
              <w:rPr>
                <w:rFonts w:ascii="Times New Roman" w:hAnsi="Times New Roman"/>
                <w:bCs/>
                <w:snapToGrid w:val="0"/>
                <w:color w:val="000000" w:themeColor="text1"/>
                <w:szCs w:val="24"/>
                <w14:textFill>
                  <w14:solidFill>
                    <w14:schemeClr w14:val="tx1"/>
                  </w14:solidFill>
                </w14:textFill>
              </w:rPr>
              <w:t>烟气循环技术是从空气预热器前抽取温度较低的烟气，通过再循环风机将抽取的烟气送入空气烟气混合器，和空气混合后一起送入炉内，这样不但可降低燃烧温度，而且也降低了氧气浓度，进而降低了NO</w:t>
            </w:r>
            <w:r>
              <w:rPr>
                <w:rFonts w:ascii="Times New Roman" w:hAnsi="Times New Roman"/>
                <w:bCs/>
                <w:snapToGrid w:val="0"/>
                <w:color w:val="000000" w:themeColor="text1"/>
                <w:szCs w:val="24"/>
                <w:vertAlign w:val="subscript"/>
                <w14:textFill>
                  <w14:solidFill>
                    <w14:schemeClr w14:val="tx1"/>
                  </w14:solidFill>
                </w14:textFill>
              </w:rPr>
              <w:t>X</w:t>
            </w:r>
            <w:r>
              <w:rPr>
                <w:rFonts w:ascii="Times New Roman" w:hAnsi="Times New Roman"/>
                <w:bCs/>
                <w:snapToGrid w:val="0"/>
                <w:color w:val="000000" w:themeColor="text1"/>
                <w:szCs w:val="24"/>
                <w14:textFill>
                  <w14:solidFill>
                    <w14:schemeClr w14:val="tx1"/>
                  </w14:solidFill>
                </w14:textFill>
              </w:rPr>
              <w:t>的排放浓度。</w:t>
            </w:r>
          </w:p>
          <w:p>
            <w:pPr>
              <w:pStyle w:val="45"/>
              <w:spacing w:line="520" w:lineRule="exact"/>
              <w:ind w:firstLine="482"/>
              <w:jc w:val="both"/>
              <w:rPr>
                <w:rFonts w:ascii="Times New Roman" w:hAnsi="Times New Roman" w:eastAsia="宋体"/>
                <w:b/>
                <w:snapToGrid w:val="0"/>
                <w:color w:val="000000" w:themeColor="text1"/>
                <w:kern w:val="0"/>
                <w:sz w:val="24"/>
                <w:szCs w:val="24"/>
                <w14:textFill>
                  <w14:solidFill>
                    <w14:schemeClr w14:val="tx1"/>
                  </w14:solidFill>
                </w14:textFill>
              </w:rPr>
            </w:pPr>
            <w:r>
              <w:rPr>
                <w:rFonts w:ascii="Times New Roman" w:hAnsi="Times New Roman" w:eastAsia="宋体"/>
                <w:b/>
                <w:snapToGrid w:val="0"/>
                <w:color w:val="000000" w:themeColor="text1"/>
                <w:kern w:val="0"/>
                <w:sz w:val="24"/>
                <w:szCs w:val="24"/>
                <w14:textFill>
                  <w14:solidFill>
                    <w14:schemeClr w14:val="tx1"/>
                  </w14:solidFill>
                </w14:textFill>
              </w:rPr>
              <w:t>3、大气环境影响分析及达标分析</w:t>
            </w:r>
          </w:p>
          <w:p>
            <w:pPr>
              <w:pStyle w:val="45"/>
              <w:spacing w:line="520" w:lineRule="exact"/>
              <w:ind w:firstLine="480"/>
              <w:jc w:val="both"/>
              <w:rPr>
                <w:rFonts w:ascii="Times New Roman" w:hAnsi="Times New Roman" w:eastAsia="宋体"/>
                <w:bCs/>
                <w:snapToGrid w:val="0"/>
                <w:color w:val="000000" w:themeColor="text1"/>
                <w:kern w:val="0"/>
                <w:sz w:val="24"/>
                <w:szCs w:val="24"/>
                <w14:textFill>
                  <w14:solidFill>
                    <w14:schemeClr w14:val="tx1"/>
                  </w14:solidFill>
                </w14:textFill>
              </w:rPr>
            </w:pPr>
            <w:r>
              <w:rPr>
                <w:rFonts w:ascii="Times New Roman" w:hAnsi="Times New Roman" w:eastAsia="宋体"/>
                <w:bCs/>
                <w:snapToGrid w:val="0"/>
                <w:color w:val="000000" w:themeColor="text1"/>
                <w:kern w:val="0"/>
                <w:sz w:val="24"/>
                <w:szCs w:val="24"/>
                <w14:textFill>
                  <w14:solidFill>
                    <w14:schemeClr w14:val="tx1"/>
                  </w14:solidFill>
                </w14:textFill>
              </w:rPr>
              <w:t xml:space="preserve">项目所在区域属于空气环境质量未达标区，项目产生的大气污染物通过削减区域内其他项目的排放量进行倍量替代，不会加重对项目区域大气环境质量影响。 </w:t>
            </w:r>
          </w:p>
          <w:p>
            <w:pPr>
              <w:pStyle w:val="45"/>
              <w:spacing w:line="520" w:lineRule="exact"/>
              <w:ind w:firstLine="480"/>
              <w:jc w:val="both"/>
              <w:rPr>
                <w:rFonts w:ascii="Times New Roman" w:hAnsi="Times New Roman" w:eastAsia="宋体"/>
                <w:bCs/>
                <w:snapToGrid w:val="0"/>
                <w:color w:val="000000" w:themeColor="text1"/>
                <w:kern w:val="0"/>
                <w:sz w:val="24"/>
                <w:szCs w:val="24"/>
                <w14:textFill>
                  <w14:solidFill>
                    <w14:schemeClr w14:val="tx1"/>
                  </w14:solidFill>
                </w14:textFill>
              </w:rPr>
            </w:pPr>
            <w:r>
              <w:rPr>
                <w:rFonts w:ascii="Times New Roman" w:hAnsi="Times New Roman" w:eastAsia="宋体"/>
                <w:bCs/>
                <w:snapToGrid w:val="0"/>
                <w:color w:val="000000" w:themeColor="text1"/>
                <w:kern w:val="0"/>
                <w:sz w:val="24"/>
                <w:szCs w:val="24"/>
                <w14:textFill>
                  <w14:solidFill>
                    <w14:schemeClr w14:val="tx1"/>
                  </w14:solidFill>
                </w14:textFill>
              </w:rPr>
              <w:t>距离项目最近空气环境保护目标为西北侧334m富民官庄村，项目废气经处理后对敏感点影响较小。</w:t>
            </w:r>
          </w:p>
          <w:p>
            <w:pPr>
              <w:pStyle w:val="45"/>
              <w:spacing w:line="520" w:lineRule="exact"/>
              <w:ind w:firstLine="360" w:firstLineChars="150"/>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生产过程中在各个工段安装除尘器收集颗粒物的措施。项目颗粒物排放速率及浓度满足《水泥工业大气污染物排放标准》（DB41/1953-2020）表1颗粒物有组织排放浓度≤10mg/m</w:t>
            </w:r>
            <w:r>
              <w:rPr>
                <w:rFonts w:ascii="Times New Roman" w:hAnsi="Times New Roman" w:eastAsia="宋体"/>
                <w:color w:val="000000" w:themeColor="text1"/>
                <w:sz w:val="24"/>
                <w:szCs w:val="24"/>
                <w:vertAlign w:val="superscript"/>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；表2无组织颗粒物排放浓度限值0.5 mg/m</w:t>
            </w:r>
            <w:r>
              <w:rPr>
                <w:rFonts w:ascii="Times New Roman" w:hAnsi="Times New Roman" w:eastAsia="宋体"/>
                <w:color w:val="000000" w:themeColor="text1"/>
                <w:sz w:val="24"/>
                <w:szCs w:val="24"/>
                <w:vertAlign w:val="superscript"/>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的要求；燃气锅炉</w:t>
            </w:r>
            <w:r>
              <w:rPr>
                <w:rFonts w:ascii="Times New Roman" w:hAnsi="Times New Roman" w:eastAsia="宋体"/>
                <w:color w:val="000000" w:themeColor="text1"/>
                <w:kern w:val="0"/>
                <w:sz w:val="24"/>
                <w:szCs w:val="24"/>
                <w14:textFill>
                  <w14:solidFill>
                    <w14:schemeClr w14:val="tx1"/>
                  </w14:solidFill>
                </w14:textFill>
              </w:rPr>
              <w:t>烟气满足《锅炉大气污染物排放标准》（DB41/2089-2021）在基准含氧量3.5%条件下，颗粒物、SO</w:t>
            </w:r>
            <w:r>
              <w:rPr>
                <w:rFonts w:ascii="Times New Roman" w:hAnsi="Times New Roman" w:eastAsia="宋体"/>
                <w:color w:val="000000" w:themeColor="text1"/>
                <w:kern w:val="0"/>
                <w:sz w:val="24"/>
                <w:szCs w:val="24"/>
                <w:vertAlign w:val="subscript"/>
                <w14:textFill>
                  <w14:solidFill>
                    <w14:schemeClr w14:val="tx1"/>
                  </w14:solidFill>
                </w14:textFill>
              </w:rPr>
              <w:t>2</w:t>
            </w:r>
            <w:r>
              <w:rPr>
                <w:rFonts w:ascii="Times New Roman" w:hAnsi="Times New Roman" w:eastAsia="宋体"/>
                <w:color w:val="000000" w:themeColor="text1"/>
                <w:kern w:val="0"/>
                <w:sz w:val="24"/>
                <w:szCs w:val="24"/>
                <w14:textFill>
                  <w14:solidFill>
                    <w14:schemeClr w14:val="tx1"/>
                  </w14:solidFill>
                </w14:textFill>
              </w:rPr>
              <w:t>、NO</w:t>
            </w:r>
            <w:r>
              <w:rPr>
                <w:rFonts w:ascii="Times New Roman" w:hAnsi="Times New Roman" w:eastAsia="宋体"/>
                <w:color w:val="000000" w:themeColor="text1"/>
                <w:kern w:val="0"/>
                <w:sz w:val="24"/>
                <w:szCs w:val="24"/>
                <w:vertAlign w:val="subscript"/>
                <w14:textFill>
                  <w14:solidFill>
                    <w14:schemeClr w14:val="tx1"/>
                  </w14:solidFill>
                </w14:textFill>
              </w:rPr>
              <w:t>X</w:t>
            </w:r>
            <w:r>
              <w:rPr>
                <w:rFonts w:ascii="Times New Roman" w:hAnsi="Times New Roman" w:eastAsia="宋体"/>
                <w:color w:val="000000" w:themeColor="text1"/>
                <w:kern w:val="0"/>
                <w:sz w:val="24"/>
                <w:szCs w:val="24"/>
                <w14:textFill>
                  <w14:solidFill>
                    <w14:schemeClr w14:val="tx1"/>
                  </w14:solidFill>
                </w14:textFill>
              </w:rPr>
              <w:t>浓度不高于5mg/m</w:t>
            </w:r>
            <w:r>
              <w:rPr>
                <w:rFonts w:ascii="Times New Roman" w:hAnsi="Times New Roman" w:eastAsia="宋体"/>
                <w:color w:val="000000" w:themeColor="text1"/>
                <w:kern w:val="0"/>
                <w:sz w:val="24"/>
                <w:szCs w:val="24"/>
                <w:vertAlign w:val="superscript"/>
                <w14:textFill>
                  <w14:solidFill>
                    <w14:schemeClr w14:val="tx1"/>
                  </w14:solidFill>
                </w14:textFill>
              </w:rPr>
              <w:t>3</w:t>
            </w:r>
            <w:r>
              <w:rPr>
                <w:rFonts w:ascii="Times New Roman" w:hAnsi="Times New Roman" w:eastAsia="宋体"/>
                <w:color w:val="000000" w:themeColor="text1"/>
                <w:kern w:val="0"/>
                <w:sz w:val="24"/>
                <w:szCs w:val="24"/>
                <w14:textFill>
                  <w14:solidFill>
                    <w14:schemeClr w14:val="tx1"/>
                  </w14:solidFill>
                </w14:textFill>
              </w:rPr>
              <w:t>、10mg/m</w:t>
            </w:r>
            <w:r>
              <w:rPr>
                <w:rFonts w:ascii="Times New Roman" w:hAnsi="Times New Roman" w:eastAsia="宋体"/>
                <w:color w:val="000000" w:themeColor="text1"/>
                <w:kern w:val="0"/>
                <w:sz w:val="24"/>
                <w:szCs w:val="24"/>
                <w:vertAlign w:val="superscript"/>
                <w14:textFill>
                  <w14:solidFill>
                    <w14:schemeClr w14:val="tx1"/>
                  </w14:solidFill>
                </w14:textFill>
              </w:rPr>
              <w:t>3</w:t>
            </w:r>
            <w:r>
              <w:rPr>
                <w:rFonts w:ascii="Times New Roman" w:hAnsi="Times New Roman" w:eastAsia="宋体"/>
                <w:color w:val="000000" w:themeColor="text1"/>
                <w:kern w:val="0"/>
                <w:sz w:val="24"/>
                <w:szCs w:val="24"/>
                <w14:textFill>
                  <w14:solidFill>
                    <w14:schemeClr w14:val="tx1"/>
                  </w14:solidFill>
                </w14:textFill>
              </w:rPr>
              <w:t>、30mg/m</w:t>
            </w:r>
            <w:r>
              <w:rPr>
                <w:rFonts w:ascii="Times New Roman" w:hAnsi="Times New Roman" w:eastAsia="宋体"/>
                <w:color w:val="000000" w:themeColor="text1"/>
                <w:kern w:val="0"/>
                <w:sz w:val="24"/>
                <w:szCs w:val="24"/>
                <w:vertAlign w:val="superscript"/>
                <w14:textFill>
                  <w14:solidFill>
                    <w14:schemeClr w14:val="tx1"/>
                  </w14:solidFill>
                </w14:textFill>
              </w:rPr>
              <w:t>3</w:t>
            </w:r>
            <w:r>
              <w:rPr>
                <w:rFonts w:ascii="Times New Roman" w:hAnsi="Times New Roman" w:eastAsia="宋体"/>
                <w:color w:val="000000" w:themeColor="text1"/>
                <w:kern w:val="0"/>
                <w:sz w:val="24"/>
                <w:szCs w:val="24"/>
                <w14:textFill>
                  <w14:solidFill>
                    <w14:schemeClr w14:val="tx1"/>
                  </w14:solidFill>
                </w14:textFill>
              </w:rPr>
              <w:t>的要求。</w:t>
            </w:r>
          </w:p>
          <w:p>
            <w:pPr>
              <w:pStyle w:val="45"/>
              <w:spacing w:line="520" w:lineRule="exact"/>
              <w:ind w:firstLine="360" w:firstLineChars="150"/>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综上所述，项目建成运行过程中对周围大气环境影响可以接受。</w:t>
            </w:r>
          </w:p>
          <w:p>
            <w:pPr>
              <w:pStyle w:val="45"/>
              <w:spacing w:line="480" w:lineRule="exact"/>
              <w:ind w:firstLine="0" w:firstLineChars="0"/>
              <w:jc w:val="both"/>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二、废水排放情况</w:t>
            </w:r>
          </w:p>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本项目主要废水为生产废水和生活污水。</w:t>
            </w:r>
          </w:p>
          <w:p>
            <w:pPr>
              <w:spacing w:line="480" w:lineRule="exact"/>
              <w:ind w:firstLine="480" w:firstLineChars="200"/>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项目废水污染源源强核算结果及相关参数一览表如表19所示。</w:t>
            </w:r>
          </w:p>
        </w:tc>
      </w:tr>
    </w:tbl>
    <w:p>
      <w:pPr>
        <w:pStyle w:val="14"/>
        <w:ind w:firstLine="600"/>
        <w:jc w:val="center"/>
        <w:outlineLvl w:val="0"/>
        <w:rPr>
          <w:rFonts w:ascii="Times New Roman" w:hAnsi="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cols w:space="720" w:num="1"/>
          <w:docGrid w:linePitch="312" w:charSpace="0"/>
        </w:sectPr>
      </w:pPr>
    </w:p>
    <w:p>
      <w:pPr>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表19   项目废水污染源源强核算结果及相关参数一览表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643"/>
        <w:gridCol w:w="835"/>
        <w:gridCol w:w="427"/>
        <w:gridCol w:w="873"/>
        <w:gridCol w:w="746"/>
        <w:gridCol w:w="861"/>
        <w:gridCol w:w="1101"/>
        <w:gridCol w:w="601"/>
        <w:gridCol w:w="507"/>
        <w:gridCol w:w="430"/>
        <w:gridCol w:w="619"/>
        <w:gridCol w:w="835"/>
        <w:gridCol w:w="513"/>
        <w:gridCol w:w="501"/>
        <w:gridCol w:w="717"/>
        <w:gridCol w:w="501"/>
        <w:gridCol w:w="647"/>
        <w:gridCol w:w="579"/>
        <w:gridCol w:w="857"/>
        <w:gridCol w:w="582"/>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19"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产排污环节</w:t>
            </w:r>
          </w:p>
        </w:tc>
        <w:tc>
          <w:tcPr>
            <w:tcW w:w="219"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284"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990" w:type="pct"/>
            <w:gridSpan w:val="4"/>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污染源产生</w:t>
            </w:r>
          </w:p>
        </w:tc>
        <w:tc>
          <w:tcPr>
            <w:tcW w:w="718" w:type="pct"/>
            <w:gridSpan w:val="3"/>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817" w:type="pct"/>
            <w:gridSpan w:val="4"/>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w:t>
            </w:r>
          </w:p>
        </w:tc>
        <w:tc>
          <w:tcPr>
            <w:tcW w:w="17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排放方式</w:t>
            </w:r>
          </w:p>
        </w:tc>
        <w:tc>
          <w:tcPr>
            <w:tcW w:w="244"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排放去向</w:t>
            </w:r>
          </w:p>
        </w:tc>
        <w:tc>
          <w:tcPr>
            <w:tcW w:w="17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排放规律</w:t>
            </w:r>
          </w:p>
        </w:tc>
        <w:tc>
          <w:tcPr>
            <w:tcW w:w="708" w:type="pct"/>
            <w:gridSpan w:val="3"/>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排放口基本情况</w:t>
            </w:r>
          </w:p>
        </w:tc>
        <w:tc>
          <w:tcPr>
            <w:tcW w:w="198"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排放时间h</w:t>
            </w:r>
          </w:p>
        </w:tc>
        <w:tc>
          <w:tcPr>
            <w:tcW w:w="26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19"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19"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8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46"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核算方法</w:t>
            </w:r>
          </w:p>
        </w:tc>
        <w:tc>
          <w:tcPr>
            <w:tcW w:w="297"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产生废水量m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254"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产生浓度mg/L</w:t>
            </w:r>
          </w:p>
        </w:tc>
        <w:tc>
          <w:tcPr>
            <w:tcW w:w="292"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374"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处理能力</w:t>
            </w:r>
          </w:p>
        </w:tc>
        <w:tc>
          <w:tcPr>
            <w:tcW w:w="171"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治理效率%</w:t>
            </w:r>
          </w:p>
        </w:tc>
        <w:tc>
          <w:tcPr>
            <w:tcW w:w="173"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是否为可行技术</w:t>
            </w:r>
          </w:p>
        </w:tc>
        <w:tc>
          <w:tcPr>
            <w:tcW w:w="147"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核算方法</w:t>
            </w:r>
          </w:p>
        </w:tc>
        <w:tc>
          <w:tcPr>
            <w:tcW w:w="211"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排放废水量m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284"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排放浓度mg/L</w:t>
            </w:r>
          </w:p>
        </w:tc>
        <w:tc>
          <w:tcPr>
            <w:tcW w:w="175"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20"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编号及名称</w:t>
            </w:r>
          </w:p>
        </w:tc>
        <w:tc>
          <w:tcPr>
            <w:tcW w:w="197"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w:t>
            </w:r>
          </w:p>
        </w:tc>
        <w:tc>
          <w:tcPr>
            <w:tcW w:w="291" w:type="pc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198"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6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车辆清洗</w:t>
            </w:r>
          </w:p>
        </w:tc>
        <w:tc>
          <w:tcPr>
            <w:tcW w:w="219"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车辆冲洗废水</w:t>
            </w: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46" w:type="pct"/>
            <w:vMerge w:val="restar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产污系数法</w:t>
            </w:r>
          </w:p>
        </w:tc>
        <w:tc>
          <w:tcPr>
            <w:tcW w:w="297"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3590.4</w:t>
            </w:r>
          </w:p>
        </w:tc>
        <w:tc>
          <w:tcPr>
            <w:tcW w:w="25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3000</w:t>
            </w:r>
          </w:p>
        </w:tc>
        <w:tc>
          <w:tcPr>
            <w:tcW w:w="292"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7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沉淀池20m</w:t>
            </w:r>
            <w:r>
              <w:rPr>
                <w:color w:val="000000" w:themeColor="text1"/>
                <w:szCs w:val="21"/>
                <w:vertAlign w:val="superscript"/>
                <w14:textFill>
                  <w14:solidFill>
                    <w14:schemeClr w14:val="tx1"/>
                  </w14:solidFill>
                </w14:textFill>
              </w:rPr>
              <w:t>2</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3"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7"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8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循环使用</w:t>
            </w:r>
          </w:p>
        </w:tc>
        <w:tc>
          <w:tcPr>
            <w:tcW w:w="244"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不外排</w:t>
            </w:r>
          </w:p>
        </w:tc>
        <w:tc>
          <w:tcPr>
            <w:tcW w:w="17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20"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7"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9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8"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6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搅拌机清洗</w:t>
            </w:r>
          </w:p>
        </w:tc>
        <w:tc>
          <w:tcPr>
            <w:tcW w:w="219"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搅拌机清洗废水</w:t>
            </w: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46"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97"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432</w:t>
            </w:r>
          </w:p>
        </w:tc>
        <w:tc>
          <w:tcPr>
            <w:tcW w:w="25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92"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37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3"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4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5"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20"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9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8"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6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9"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燃气锅炉、软水器</w:t>
            </w:r>
          </w:p>
        </w:tc>
        <w:tc>
          <w:tcPr>
            <w:tcW w:w="219"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锅炉排污水、软化处理废水</w:t>
            </w: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46"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97"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1332</w:t>
            </w:r>
          </w:p>
        </w:tc>
        <w:tc>
          <w:tcPr>
            <w:tcW w:w="25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292"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7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3"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7"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8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循环使用</w:t>
            </w:r>
          </w:p>
        </w:tc>
        <w:tc>
          <w:tcPr>
            <w:tcW w:w="244"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不外排</w:t>
            </w:r>
          </w:p>
        </w:tc>
        <w:tc>
          <w:tcPr>
            <w:tcW w:w="17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20"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7"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9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8"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6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46"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9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5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292"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7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3"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4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5"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20"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9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8"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6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9"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219"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46"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产污系数法</w:t>
            </w:r>
          </w:p>
        </w:tc>
        <w:tc>
          <w:tcPr>
            <w:tcW w:w="297"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360</w:t>
            </w:r>
          </w:p>
        </w:tc>
        <w:tc>
          <w:tcPr>
            <w:tcW w:w="25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292"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0.108</w:t>
            </w:r>
          </w:p>
        </w:tc>
        <w:tc>
          <w:tcPr>
            <w:tcW w:w="37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化粪池，5m</w:t>
            </w:r>
            <w:r>
              <w:rPr>
                <w:color w:val="000000" w:themeColor="text1"/>
                <w:szCs w:val="21"/>
                <w:vertAlign w:val="superscript"/>
                <w14:textFill>
                  <w14:solidFill>
                    <w14:schemeClr w14:val="tx1"/>
                  </w14:solidFill>
                </w14:textFill>
              </w:rPr>
              <w:t>3</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3"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47"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84"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 w:type="pct"/>
            <w:vMerge w:val="restar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1" w:type="pct"/>
            <w:vMerge w:val="restart"/>
            <w:shd w:val="clear" w:color="auto" w:fill="auto"/>
            <w:vAlign w:val="center"/>
          </w:tcPr>
          <w:p>
            <w:pPr>
              <w:widowControl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定期清运</w:t>
            </w:r>
          </w:p>
        </w:tc>
        <w:tc>
          <w:tcPr>
            <w:tcW w:w="244"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不外排</w:t>
            </w:r>
          </w:p>
        </w:tc>
        <w:tc>
          <w:tcPr>
            <w:tcW w:w="17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20"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7"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9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8"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61" w:type="pct"/>
            <w:vMerge w:val="restart"/>
            <w:shd w:val="clear" w:color="auto" w:fill="auto"/>
            <w:vAlign w:val="center"/>
          </w:tcPr>
          <w:p>
            <w:pPr>
              <w:widowControl w:val="0"/>
              <w:tabs>
                <w:tab w:val="left" w:pos="105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46"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9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5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292"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0.009</w:t>
            </w:r>
          </w:p>
        </w:tc>
        <w:tc>
          <w:tcPr>
            <w:tcW w:w="37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3"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4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5"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20"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9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8"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6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9"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46"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9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54"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292" w:type="pct"/>
            <w:shd w:val="clear" w:color="auto" w:fill="auto"/>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0.0009</w:t>
            </w:r>
          </w:p>
        </w:tc>
        <w:tc>
          <w:tcPr>
            <w:tcW w:w="37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3"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47"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1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84"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5"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jc w:val="center"/>
              <w:rPr>
                <w:color w:val="000000" w:themeColor="text1"/>
                <w:szCs w:val="21"/>
                <w14:textFill>
                  <w14:solidFill>
                    <w14:schemeClr w14:val="tx1"/>
                  </w14:solidFill>
                </w14:textFill>
              </w:rPr>
            </w:pPr>
          </w:p>
        </w:tc>
        <w:tc>
          <w:tcPr>
            <w:tcW w:w="244"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7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20"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7"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9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198"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c>
          <w:tcPr>
            <w:tcW w:w="261" w:type="pct"/>
            <w:vMerge w:val="continue"/>
            <w:shd w:val="clear" w:color="auto" w:fill="auto"/>
            <w:vAlign w:val="center"/>
          </w:tcPr>
          <w:p>
            <w:pPr>
              <w:widowControl w:val="0"/>
              <w:tabs>
                <w:tab w:val="left" w:pos="1055"/>
              </w:tabs>
              <w:jc w:val="center"/>
              <w:rPr>
                <w:color w:val="000000" w:themeColor="text1"/>
                <w:szCs w:val="21"/>
                <w14:textFill>
                  <w14:solidFill>
                    <w14:schemeClr w14:val="tx1"/>
                  </w14:solidFill>
                </w14:textFill>
              </w:rPr>
            </w:pPr>
          </w:p>
        </w:tc>
      </w:tr>
    </w:tbl>
    <w:p>
      <w:pPr>
        <w:pStyle w:val="14"/>
        <w:ind w:firstLine="600"/>
        <w:outlineLvl w:val="0"/>
        <w:rPr>
          <w:rFonts w:ascii="Times New Roman" w:hAnsi="Times New Roman"/>
          <w:snapToGrid w:val="0"/>
          <w:color w:val="000000" w:themeColor="text1"/>
          <w:sz w:val="30"/>
          <w:szCs w:val="30"/>
          <w14:textFill>
            <w14:solidFill>
              <w14:schemeClr w14:val="tx1"/>
            </w14:solidFill>
          </w14:textFill>
        </w:rPr>
        <w:sectPr>
          <w:pgSz w:w="16838" w:h="11906" w:orient="landscape"/>
          <w:pgMar w:top="1134" w:right="1134" w:bottom="1134" w:left="1134" w:header="851" w:footer="851" w:gutter="0"/>
          <w:cols w:space="720" w:num="1"/>
          <w:docGrid w:linePitch="312" w:charSpace="0"/>
        </w:sect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82"/>
        <w:gridCol w:w="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232" w:type="pct"/>
            <w:shd w:val="clear" w:color="auto" w:fill="auto"/>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14"/>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措施</w:t>
            </w:r>
          </w:p>
        </w:tc>
        <w:tc>
          <w:tcPr>
            <w:tcW w:w="4645" w:type="pct"/>
            <w:shd w:val="clear" w:color="auto" w:fill="auto"/>
          </w:tcPr>
          <w:p>
            <w:pPr>
              <w:adjustRightInd w:val="0"/>
              <w:snapToGrid w:val="0"/>
              <w:spacing w:line="500" w:lineRule="exact"/>
              <w:ind w:firstLine="422"/>
              <w:rPr>
                <w:b/>
                <w:color w:val="000000" w:themeColor="text1"/>
                <w:sz w:val="24"/>
                <w14:textFill>
                  <w14:solidFill>
                    <w14:schemeClr w14:val="tx1"/>
                  </w14:solidFill>
                </w14:textFill>
              </w:rPr>
            </w:pPr>
            <w:r>
              <w:rPr>
                <w:b/>
                <w:color w:val="000000" w:themeColor="text1"/>
                <w:sz w:val="24"/>
                <w14:textFill>
                  <w14:solidFill>
                    <w14:schemeClr w14:val="tx1"/>
                  </w14:solidFill>
                </w14:textFill>
              </w:rPr>
              <w:t>1、废水源强核算</w:t>
            </w:r>
          </w:p>
          <w:p>
            <w:pPr>
              <w:widowControl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本项目营运期废水有生产废水和生活污水。生产废水主要包括</w:t>
            </w:r>
            <w:r>
              <w:rPr>
                <w:rFonts w:hint="eastAsia"/>
                <w:color w:val="000000" w:themeColor="text1"/>
                <w:sz w:val="24"/>
                <w14:textFill>
                  <w14:solidFill>
                    <w14:schemeClr w14:val="tx1"/>
                  </w14:solidFill>
                </w14:textFill>
              </w:rPr>
              <w:t>锅炉排污水、软化处理废水</w:t>
            </w:r>
            <w:r>
              <w:rPr>
                <w:color w:val="000000" w:themeColor="text1"/>
                <w:sz w:val="24"/>
                <w14:textFill>
                  <w14:solidFill>
                    <w14:schemeClr w14:val="tx1"/>
                  </w14:solidFill>
                </w14:textFill>
              </w:rPr>
              <w:t>、车辆冲洗废水、搅拌机清洗废水；生活污水主要是职工生活废水。</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（1）生产废水</w:t>
            </w:r>
          </w:p>
          <w:p>
            <w:pPr>
              <w:widowControl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1、车辆冲洗废水</w:t>
            </w:r>
          </w:p>
          <w:p>
            <w:pPr>
              <w:widowControl w:val="0"/>
              <w:adjustRightInd w:val="0"/>
              <w:snapToGrid w:val="0"/>
              <w:spacing w:line="50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根据水平衡情况可知，车辆冲洗废水量为3590.4m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/a，浓度约为3000mg/L，车辆及设备冲洗废水经沉淀池（15m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）沉淀处理后，用于车辆冲洗，循环使用，不外排，</w:t>
            </w:r>
            <w:r>
              <w:rPr>
                <w:bCs/>
                <w:color w:val="000000" w:themeColor="text1"/>
                <w:sz w:val="24"/>
                <w14:textFill>
                  <w14:solidFill>
                    <w14:schemeClr w14:val="tx1"/>
                  </w14:solidFill>
                </w14:textFill>
              </w:rPr>
              <w:t>生产过程中随着水分的蒸发损耗，需要定期补充新鲜水，项目新鲜水补充量为1152t/a。</w:t>
            </w:r>
          </w:p>
          <w:p>
            <w:pPr>
              <w:widowControl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2、锅炉排污水、软化处理废水</w:t>
            </w:r>
          </w:p>
          <w:p>
            <w:pPr>
              <w:widowControl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天然气锅炉运行过程中炉水一直处于循环使用的状态，炉水中的杂质、化合物会逐渐沉积，需要等通过一定的方式定期排出锅炉之外，保证炉水水质良好。根据《锅炉房设计规范》（GB50041-2008）可知，采用锅外化学水处理且蒸汽压力小于或等于2.5MPa时，锅炉排污率不宜大于10%。本项目采用树脂罐离子交换的方式进行锅外化学水处理，且锅炉内蒸汽压力为1.6MPa，本次评价锅炉排污率按照10%计。根据锅炉运行数据可知，锅炉每天所需的软水量为40t，根据蒸压养护用水数据可知，锅炉每天所需的软水量为40t，厂内全自动软水处理器处理效率约为80%，经计算可知，项目使用新鲜水为55.6t/d，软化处理废水约为11.12t/d，锅炉排污水排放总量为4.48t/d，废水主要污染物产生浓度分别为：COD 30mg/L、氨氮0.2mg/L，由于污染物浓度较低，该部分废水</w:t>
            </w:r>
            <w:r>
              <w:rPr>
                <w:rFonts w:hint="eastAsia"/>
                <w:color w:val="000000" w:themeColor="text1"/>
                <w:sz w:val="24"/>
                <w14:textFill>
                  <w14:solidFill>
                    <w14:schemeClr w14:val="tx1"/>
                  </w14:solidFill>
                </w14:textFill>
              </w:rPr>
              <w:t>进入搅拌添加水中，自然蒸发。</w:t>
            </w:r>
          </w:p>
          <w:p>
            <w:pPr>
              <w:widowControl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3、搅拌机清洗废水</w:t>
            </w:r>
          </w:p>
          <w:p>
            <w:pPr>
              <w:widowControl w:val="0"/>
              <w:adjustRightInd w:val="0"/>
              <w:snapToGrid w:val="0"/>
              <w:spacing w:line="50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根据水平衡情况可知，废水量产生量约为432m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/a，浓度约为3000mg/L，搅拌机清洗废水经沉淀池（5m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）沉淀处理后，循环使用，不外排，</w:t>
            </w:r>
            <w:r>
              <w:rPr>
                <w:bCs/>
                <w:color w:val="000000" w:themeColor="text1"/>
                <w:sz w:val="24"/>
                <w14:textFill>
                  <w14:solidFill>
                    <w14:schemeClr w14:val="tx1"/>
                  </w14:solidFill>
                </w14:textFill>
              </w:rPr>
              <w:t>生产过程中随着水分的蒸发损耗，需要定期补充新鲜水，项目新鲜水补充量为126t/a。</w:t>
            </w:r>
          </w:p>
          <w:p>
            <w:pPr>
              <w:pStyle w:val="71"/>
              <w:numPr>
                <w:ilvl w:val="0"/>
                <w:numId w:val="4"/>
              </w:numPr>
              <w:spacing w:line="520" w:lineRule="exact"/>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w:t>
            </w:r>
          </w:p>
          <w:p>
            <w:pPr>
              <w:autoSpaceDE w:val="0"/>
              <w:autoSpaceDN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根据水平衡情况可知，则项目生活污水产生量为360m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/a。生活污水中污染物浓度约为COD300mg/L、NH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-N25mg/L、TP2.5mg/L，则本项目废水污染物产生量为COD0.108t/a、NH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-N0.009t/a、TP0.0009t/a。</w:t>
            </w:r>
          </w:p>
          <w:p>
            <w:pPr>
              <w:autoSpaceDE w:val="0"/>
              <w:autoSpaceDN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经现场踏勘，本项目生活污水未能接入市政污水管网，生活污水经化粪池（容积5m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）收集处理后定期清运，不外排。</w:t>
            </w:r>
          </w:p>
          <w:p>
            <w:pPr>
              <w:autoSpaceDE w:val="0"/>
              <w:autoSpaceDN w:val="0"/>
              <w:spacing w:line="520" w:lineRule="exact"/>
              <w:ind w:firstLine="482" w:firstLineChars="200"/>
              <w:jc w:val="both"/>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2、废水治理措施可行性分析</w:t>
            </w:r>
          </w:p>
          <w:p>
            <w:pPr>
              <w:spacing w:line="52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经查阅《排污许可证申请与核发技术规范  总则》（HJ847-2017）可知，项目废水治理工艺属于物理沉淀法，属于可行技术。</w:t>
            </w:r>
          </w:p>
          <w:p>
            <w:pPr>
              <w:spacing w:line="52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本项目所在区域未能接入污水管网，厂内设置化粪池，生活污水经化粪池收集处理后，定期清运，不外排；</w:t>
            </w:r>
            <w:r>
              <w:rPr>
                <w:rFonts w:hint="eastAsia"/>
                <w:bCs/>
                <w:color w:val="000000" w:themeColor="text1"/>
                <w:sz w:val="24"/>
                <w14:textFill>
                  <w14:solidFill>
                    <w14:schemeClr w14:val="tx1"/>
                  </w14:solidFill>
                </w14:textFill>
              </w:rPr>
              <w:t>车辆冲洗废水、搅拌机清洗废水经沉淀池处理后循环使用，不外排；</w:t>
            </w:r>
            <w:r>
              <w:rPr>
                <w:color w:val="000000" w:themeColor="text1"/>
                <w:sz w:val="24"/>
                <w14:textFill>
                  <w14:solidFill>
                    <w14:schemeClr w14:val="tx1"/>
                  </w14:solidFill>
                </w14:textFill>
              </w:rPr>
              <w:t>锅炉排污水、软化处理废水</w:t>
            </w:r>
            <w:r>
              <w:rPr>
                <w:rFonts w:hint="eastAsia"/>
                <w:color w:val="000000" w:themeColor="text1"/>
                <w:sz w:val="24"/>
                <w14:textFill>
                  <w14:solidFill>
                    <w14:schemeClr w14:val="tx1"/>
                  </w14:solidFill>
                </w14:textFill>
              </w:rPr>
              <w:t>进入搅拌添加水中，自然蒸发</w:t>
            </w:r>
            <w:r>
              <w:rPr>
                <w:color w:val="000000" w:themeColor="text1"/>
                <w:sz w:val="24"/>
                <w14:textFill>
                  <w14:solidFill>
                    <w14:schemeClr w14:val="tx1"/>
                  </w14:solidFill>
                </w14:textFill>
              </w:rPr>
              <w:t>。</w:t>
            </w:r>
          </w:p>
          <w:p>
            <w:pPr>
              <w:adjustRightInd w:val="0"/>
              <w:snapToGrid w:val="0"/>
              <w:spacing w:line="52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因此，项目废水治理措施可行。</w:t>
            </w:r>
          </w:p>
          <w:p>
            <w:pPr>
              <w:pStyle w:val="14"/>
              <w:spacing w:before="0" w:beforeAutospacing="0" w:after="0" w:afterAutospacing="0" w:line="520" w:lineRule="exact"/>
              <w:ind w:firstLine="422"/>
              <w:jc w:val="both"/>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三、噪声</w:t>
            </w:r>
          </w:p>
          <w:p>
            <w:pPr>
              <w:adjustRightInd w:val="0"/>
              <w:snapToGrid w:val="0"/>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1、噪声源强核算</w:t>
            </w:r>
          </w:p>
          <w:p>
            <w:pPr>
              <w:adjustRightInd w:val="0"/>
              <w:snapToGrid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本项目主要的噪声源为项目</w:t>
            </w:r>
            <w:r>
              <w:rPr>
                <w:rFonts w:hint="eastAsia"/>
                <w:color w:val="000000" w:themeColor="text1"/>
                <w:sz w:val="24"/>
                <w14:textFill>
                  <w14:solidFill>
                    <w14:schemeClr w14:val="tx1"/>
                  </w14:solidFill>
                </w14:textFill>
              </w:rPr>
              <w:t>拌合</w:t>
            </w:r>
            <w:r>
              <w:rPr>
                <w:color w:val="000000" w:themeColor="text1"/>
                <w:sz w:val="24"/>
                <w14:textFill>
                  <w14:solidFill>
                    <w14:schemeClr w14:val="tx1"/>
                  </w14:solidFill>
                </w14:textFill>
              </w:rPr>
              <w:t>机、</w:t>
            </w:r>
            <w:r>
              <w:rPr>
                <w:rFonts w:hint="eastAsia"/>
                <w:color w:val="000000" w:themeColor="text1"/>
                <w:sz w:val="24"/>
                <w14:textFill>
                  <w14:solidFill>
                    <w14:schemeClr w14:val="tx1"/>
                  </w14:solidFill>
                </w14:textFill>
              </w:rPr>
              <w:t>水泵等</w:t>
            </w:r>
            <w:r>
              <w:rPr>
                <w:color w:val="000000" w:themeColor="text1"/>
                <w:sz w:val="24"/>
                <w14:textFill>
                  <w14:solidFill>
                    <w14:schemeClr w14:val="tx1"/>
                  </w14:solidFill>
                </w14:textFill>
              </w:rPr>
              <w:t>运行过程中产生的噪声，各设备噪声源强详见下表所示。</w:t>
            </w:r>
          </w:p>
          <w:p>
            <w:pPr>
              <w:pStyle w:val="71"/>
              <w:numPr>
                <w:ilvl w:val="0"/>
                <w:numId w:val="5"/>
              </w:numPr>
              <w:autoSpaceDE w:val="0"/>
              <w:autoSpaceDN w:val="0"/>
              <w:adjustRightInd w:val="0"/>
              <w:snapToGrid w:val="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项目噪声情况一览表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564"/>
              <w:gridCol w:w="1163"/>
              <w:gridCol w:w="1639"/>
              <w:gridCol w:w="2003"/>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59"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71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噪声源强dB（A）</w:t>
                  </w:r>
                </w:p>
              </w:tc>
              <w:tc>
                <w:tcPr>
                  <w:tcW w:w="1005"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降噪措施</w:t>
                  </w:r>
                </w:p>
              </w:tc>
              <w:tc>
                <w:tcPr>
                  <w:tcW w:w="122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减振隔声后噪声值dB（A）</w:t>
                  </w:r>
                </w:p>
              </w:tc>
              <w:tc>
                <w:tcPr>
                  <w:tcW w:w="75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3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59"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拌合机</w:t>
                  </w:r>
                </w:p>
              </w:tc>
              <w:tc>
                <w:tcPr>
                  <w:tcW w:w="71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1005" w:type="pct"/>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基础减震、厂房隔声</w:t>
                  </w:r>
                </w:p>
              </w:tc>
              <w:tc>
                <w:tcPr>
                  <w:tcW w:w="1228"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757"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8h/d，300d/a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59"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水泵</w:t>
                  </w:r>
                </w:p>
              </w:tc>
              <w:tc>
                <w:tcPr>
                  <w:tcW w:w="71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1005" w:type="pct"/>
                  <w:vMerge w:val="continue"/>
                  <w:shd w:val="clear" w:color="auto" w:fill="auto"/>
                </w:tcPr>
                <w:p>
                  <w:pPr>
                    <w:adjustRightInd w:val="0"/>
                    <w:snapToGrid w:val="0"/>
                    <w:jc w:val="center"/>
                    <w:rPr>
                      <w:color w:val="000000" w:themeColor="text1"/>
                      <w:szCs w:val="21"/>
                      <w14:textFill>
                        <w14:solidFill>
                          <w14:schemeClr w14:val="tx1"/>
                        </w14:solidFill>
                      </w14:textFill>
                    </w:rPr>
                  </w:pPr>
                </w:p>
              </w:tc>
              <w:tc>
                <w:tcPr>
                  <w:tcW w:w="1228"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757" w:type="pct"/>
                  <w:vMerge w:val="continue"/>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38" w:type="pct"/>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59"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泡沫沥青厂拌设备</w:t>
                  </w:r>
                </w:p>
              </w:tc>
              <w:tc>
                <w:tcPr>
                  <w:tcW w:w="713"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1005" w:type="pct"/>
                  <w:vMerge w:val="continue"/>
                  <w:shd w:val="clear" w:color="auto" w:fill="auto"/>
                </w:tcPr>
                <w:p>
                  <w:pPr>
                    <w:adjustRightInd w:val="0"/>
                    <w:snapToGrid w:val="0"/>
                    <w:jc w:val="center"/>
                    <w:rPr>
                      <w:color w:val="000000" w:themeColor="text1"/>
                      <w:szCs w:val="21"/>
                      <w14:textFill>
                        <w14:solidFill>
                          <w14:schemeClr w14:val="tx1"/>
                        </w14:solidFill>
                      </w14:textFill>
                    </w:rPr>
                  </w:pPr>
                </w:p>
              </w:tc>
              <w:tc>
                <w:tcPr>
                  <w:tcW w:w="1228"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757" w:type="pct"/>
                  <w:vMerge w:val="continue"/>
                </w:tcPr>
                <w:p>
                  <w:pPr>
                    <w:adjustRightInd w:val="0"/>
                    <w:snapToGrid w:val="0"/>
                    <w:jc w:val="center"/>
                    <w:rPr>
                      <w:color w:val="000000" w:themeColor="text1"/>
                      <w:szCs w:val="21"/>
                      <w14:textFill>
                        <w14:solidFill>
                          <w14:schemeClr w14:val="tx1"/>
                        </w14:solidFill>
                      </w14:textFill>
                    </w:rPr>
                  </w:pPr>
                </w:p>
              </w:tc>
            </w:tr>
          </w:tbl>
          <w:p>
            <w:pPr>
              <w:adjustRightInd w:val="0"/>
              <w:snapToGrid w:val="0"/>
              <w:spacing w:line="520" w:lineRule="exact"/>
              <w:ind w:firstLine="480" w:firstLineChars="200"/>
              <w:jc w:val="both"/>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本项目噪声源均为持续声源</w:t>
            </w:r>
            <w:r>
              <w:rPr>
                <w:color w:val="000000" w:themeColor="text1"/>
                <w:sz w:val="24"/>
                <w14:textFill>
                  <w14:solidFill>
                    <w14:schemeClr w14:val="tx1"/>
                  </w14:solidFill>
                </w14:textFill>
              </w:rPr>
              <w:t>。项目产生噪声生产设备均布置在车间内，经车间减振、隔声后可降至55-70dB（A）以下，对外界影响较小。</w:t>
            </w:r>
          </w:p>
          <w:p>
            <w:pPr>
              <w:adjustRightInd w:val="0"/>
              <w:snapToGrid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2、噪声对环境的影响</w:t>
            </w:r>
          </w:p>
          <w:p>
            <w:pPr>
              <w:spacing w:line="52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评价采用的预测模式如下：</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点源几何发散衰减模式：</w:t>
            </w:r>
          </w:p>
          <w:p>
            <w:pPr>
              <w:spacing w:line="520" w:lineRule="exact"/>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LA（r）=LA（r0）-20lg（r/r0）-L</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声源处于半自由声场时，L=8。</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多声源合成模式：</w:t>
            </w:r>
          </w:p>
          <w:p>
            <w:pPr>
              <w:spacing w:line="520" w:lineRule="exact"/>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LA=10lg（Σ100.1LAi）</w:t>
            </w:r>
          </w:p>
          <w:p>
            <w:pPr>
              <w:adjustRightInd w:val="0"/>
              <w:snapToGrid w:val="0"/>
              <w:spacing w:line="520" w:lineRule="exact"/>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根据工程噪声源在厂区的分布和源强，以及其与四周厂界的距离及建筑物的衰减状况，计算出各声源对四个厂界的噪声贡献值，对本项目完成后各厂界噪声值进行预测，各厂界噪声影响情况预测结果见下表所示。</w:t>
            </w:r>
          </w:p>
          <w:p>
            <w:pPr>
              <w:pStyle w:val="71"/>
              <w:numPr>
                <w:ilvl w:val="0"/>
                <w:numId w:val="5"/>
              </w:numPr>
              <w:autoSpaceDE w:val="0"/>
              <w:autoSpaceDN w:val="0"/>
              <w:adjustRightInd w:val="0"/>
              <w:snapToGrid w:val="0"/>
              <w:spacing w:before="240" w:beforeLines="10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厂界噪声预测结果一览表      单位dB（A）</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061"/>
              <w:gridCol w:w="1413"/>
              <w:gridCol w:w="989"/>
              <w:gridCol w:w="847"/>
              <w:gridCol w:w="83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3" w:type="pct"/>
                  <w:vAlign w:val="center"/>
                </w:tcPr>
                <w:p>
                  <w:pPr>
                    <w:jc w:val="center"/>
                    <w:textAlignment w:val="baseline"/>
                    <w:rPr>
                      <w:color w:val="000000" w:themeColor="text1"/>
                      <w:szCs w:val="21"/>
                      <w14:textFill>
                        <w14:solidFill>
                          <w14:schemeClr w14:val="tx1"/>
                        </w14:solidFill>
                      </w14:textFill>
                    </w:rPr>
                  </w:pPr>
                  <w:bookmarkStart w:id="1" w:name="_Hlk124856425"/>
                  <w:r>
                    <w:rPr>
                      <w:bCs/>
                      <w:color w:val="000000" w:themeColor="text1"/>
                      <w:spacing w:val="-10"/>
                      <w:szCs w:val="21"/>
                      <w14:textFill>
                        <w14:solidFill>
                          <w14:schemeClr w14:val="tx1"/>
                        </w14:solidFill>
                      </w14:textFill>
                    </w:rPr>
                    <w:t>预测点位</w:t>
                  </w:r>
                </w:p>
              </w:tc>
              <w:tc>
                <w:tcPr>
                  <w:tcW w:w="1263"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声源名称</w:t>
                  </w:r>
                </w:p>
              </w:tc>
              <w:tc>
                <w:tcPr>
                  <w:tcW w:w="86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声源强度</w:t>
                  </w:r>
                </w:p>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距离</w:t>
                  </w:r>
                </w:p>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贡献值</w:t>
                  </w:r>
                </w:p>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c>
                <w:tcPr>
                  <w:tcW w:w="514"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预测贡献值</w:t>
                  </w:r>
                </w:p>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c>
                <w:tcPr>
                  <w:tcW w:w="588" w:type="pct"/>
                  <w:vAlign w:val="center"/>
                </w:tcPr>
                <w:p>
                  <w:pPr>
                    <w:ind w:left="-105" w:leftChars="-50" w:right="-105" w:rightChars="-5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昼间标准限值</w:t>
                  </w:r>
                </w:p>
                <w:p>
                  <w:pPr>
                    <w:ind w:left="-105" w:leftChars="-50" w:right="-105" w:rightChars="-5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3"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东厂界</w:t>
                  </w: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拌合机</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35.51</w:t>
                  </w:r>
                </w:p>
              </w:tc>
              <w:tc>
                <w:tcPr>
                  <w:tcW w:w="514" w:type="pct"/>
                  <w:vMerge w:val="restar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43.87</w:t>
                  </w:r>
                </w:p>
              </w:tc>
              <w:tc>
                <w:tcPr>
                  <w:tcW w:w="588" w:type="pct"/>
                  <w:vMerge w:val="restar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水泵</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24.33</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泡沫沥青厂拌设备</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26.31</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3"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南厂界</w:t>
                  </w: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拌合机</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37.96</w:t>
                  </w:r>
                </w:p>
              </w:tc>
              <w:tc>
                <w:tcPr>
                  <w:tcW w:w="514" w:type="pct"/>
                  <w:vMerge w:val="restar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39.88</w:t>
                  </w: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水泵</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31.56</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泡沫沥青厂拌设备</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519" w:type="pct"/>
                  <w:vAlign w:val="center"/>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31.56</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3"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西厂界</w:t>
                  </w: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拌合机</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116</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28.71</w:t>
                  </w:r>
                </w:p>
              </w:tc>
              <w:tc>
                <w:tcPr>
                  <w:tcW w:w="514" w:type="pct"/>
                  <w:vMerge w:val="restar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33.58</w:t>
                  </w:r>
                </w:p>
                <w:p>
                  <w:pPr>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水泵</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29.58</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泡沫沥青厂拌设备</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81</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26.83</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643" w:type="pct"/>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北厂界</w:t>
                  </w: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拌合机</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188</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24.52</w:t>
                  </w:r>
                </w:p>
              </w:tc>
              <w:tc>
                <w:tcPr>
                  <w:tcW w:w="514" w:type="pct"/>
                  <w:vMerge w:val="restar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36.23</w:t>
                  </w: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643" w:type="pct"/>
                  <w:vMerge w:val="continue"/>
                  <w:vAlign w:val="center"/>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水泵</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32.74</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643" w:type="pct"/>
                  <w:vMerge w:val="continue"/>
                </w:tcPr>
                <w:p>
                  <w:pPr>
                    <w:jc w:val="center"/>
                    <w:rPr>
                      <w:color w:val="000000" w:themeColor="text1"/>
                      <w:kern w:val="0"/>
                      <w:szCs w:val="21"/>
                      <w14:textFill>
                        <w14:solidFill>
                          <w14:schemeClr w14:val="tx1"/>
                        </w14:solidFill>
                      </w14:textFill>
                    </w:rPr>
                  </w:pPr>
                </w:p>
              </w:tc>
              <w:tc>
                <w:tcPr>
                  <w:tcW w:w="1263" w:type="pct"/>
                </w:tcPr>
                <w:p>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泡沫沥青厂拌设备</w:t>
                  </w:r>
                </w:p>
              </w:tc>
              <w:tc>
                <w:tcPr>
                  <w:tcW w:w="866" w:type="pct"/>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606"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519" w:type="pct"/>
                  <w:vAlign w:val="center"/>
                </w:tcPr>
                <w:p>
                  <w:pPr>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32.74</w:t>
                  </w:r>
                </w:p>
              </w:tc>
              <w:tc>
                <w:tcPr>
                  <w:tcW w:w="514" w:type="pct"/>
                  <w:vMerge w:val="continue"/>
                  <w:vAlign w:val="center"/>
                </w:tcPr>
                <w:p>
                  <w:pPr>
                    <w:jc w:val="center"/>
                    <w:textAlignment w:val="baseline"/>
                    <w:rPr>
                      <w:color w:val="000000" w:themeColor="text1"/>
                      <w:szCs w:val="21"/>
                      <w14:textFill>
                        <w14:solidFill>
                          <w14:schemeClr w14:val="tx1"/>
                        </w14:solidFill>
                      </w14:textFill>
                    </w:rPr>
                  </w:pPr>
                </w:p>
              </w:tc>
              <w:tc>
                <w:tcPr>
                  <w:tcW w:w="588" w:type="pct"/>
                  <w:vMerge w:val="continue"/>
                  <w:vAlign w:val="center"/>
                </w:tcPr>
                <w:p>
                  <w:pPr>
                    <w:jc w:val="center"/>
                    <w:textAlignment w:val="baseline"/>
                    <w:rPr>
                      <w:color w:val="000000" w:themeColor="text1"/>
                      <w:szCs w:val="21"/>
                      <w14:textFill>
                        <w14:solidFill>
                          <w14:schemeClr w14:val="tx1"/>
                        </w14:solidFill>
                      </w14:textFill>
                    </w:rPr>
                  </w:pPr>
                </w:p>
              </w:tc>
            </w:tr>
            <w:bookmarkEnd w:id="1"/>
          </w:tbl>
          <w:p>
            <w:pPr>
              <w:adjustRightInd w:val="0"/>
              <w:snapToGrid w:val="0"/>
              <w:spacing w:line="520" w:lineRule="exact"/>
              <w:ind w:firstLine="42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由上表可知，项目建成运行后，各厂界昼间噪声均能够满足《工业企业厂界环境噪声排放标准》（GB12348-2008）2类昼间60dB（A）的标准要求。</w:t>
            </w:r>
          </w:p>
          <w:p>
            <w:pPr>
              <w:adjustRightInd w:val="0"/>
              <w:snapToGrid w:val="0"/>
              <w:spacing w:line="520" w:lineRule="exac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因此，项目噪声对周边声环境影响可以接受。</w:t>
            </w:r>
          </w:p>
          <w:p>
            <w:pPr>
              <w:adjustRightInd w:val="0"/>
              <w:snapToGrid w:val="0"/>
              <w:spacing w:line="520" w:lineRule="exact"/>
              <w:ind w:firstLine="422"/>
              <w:rPr>
                <w:color w:val="000000" w:themeColor="text1"/>
                <w:sz w:val="24"/>
                <w14:textFill>
                  <w14:solidFill>
                    <w14:schemeClr w14:val="tx1"/>
                  </w14:solidFill>
                </w14:textFill>
              </w:rPr>
            </w:pPr>
            <w:r>
              <w:rPr>
                <w:color w:val="000000" w:themeColor="text1"/>
                <w:sz w:val="24"/>
                <w14:textFill>
                  <w14:solidFill>
                    <w14:schemeClr w14:val="tx1"/>
                  </w14:solidFill>
                </w14:textFill>
              </w:rPr>
              <w:t>3、噪声监测计划制定</w:t>
            </w:r>
          </w:p>
          <w:p>
            <w:pPr>
              <w:adjustRightInd w:val="0"/>
              <w:snapToGrid w:val="0"/>
              <w:spacing w:line="520" w:lineRule="exact"/>
              <w:ind w:firstLine="42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总则》（HJ819-2017）制定本项目噪声自行监测计划，制定情况如下表所示。</w:t>
            </w:r>
          </w:p>
          <w:p>
            <w:pPr>
              <w:pStyle w:val="71"/>
              <w:numPr>
                <w:ilvl w:val="0"/>
                <w:numId w:val="5"/>
              </w:numPr>
              <w:autoSpaceDE w:val="0"/>
              <w:autoSpaceDN w:val="0"/>
              <w:adjustRightInd w:val="0"/>
              <w:snapToGrid w:val="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项目噪声自行监测计划一览表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2533"/>
              <w:gridCol w:w="1545"/>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55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94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监测时间</w:t>
                  </w:r>
                </w:p>
              </w:tc>
              <w:tc>
                <w:tcPr>
                  <w:tcW w:w="125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1553"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等效连续噪声级Leq(A)</w:t>
                  </w:r>
                </w:p>
              </w:tc>
              <w:tc>
                <w:tcPr>
                  <w:tcW w:w="947"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250"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1次/季度</w:t>
                  </w:r>
                </w:p>
              </w:tc>
            </w:tr>
          </w:tbl>
          <w:p>
            <w:pPr>
              <w:adjustRightInd w:val="0"/>
              <w:snapToGrid w:val="0"/>
              <w:spacing w:line="50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四、固体废物</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本项目运行过程中产生的固废主要为沉淀池沉渣、</w:t>
            </w:r>
            <w:r>
              <w:rPr>
                <w:rFonts w:hint="eastAsia"/>
                <w:color w:val="000000" w:themeColor="text1"/>
                <w:sz w:val="24"/>
                <w14:textFill>
                  <w14:solidFill>
                    <w14:schemeClr w14:val="tx1"/>
                  </w14:solidFill>
                </w14:textFill>
              </w:rPr>
              <w:t>钢筋裁剪</w:t>
            </w:r>
            <w:r>
              <w:rPr>
                <w:color w:val="000000" w:themeColor="text1"/>
                <w:sz w:val="24"/>
                <w14:textFill>
                  <w14:solidFill>
                    <w14:schemeClr w14:val="tx1"/>
                  </w14:solidFill>
                </w14:textFill>
              </w:rPr>
              <w:t>下脚料、以及职工生活垃圾等。</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1、一般固废</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（1）沉淀池沉渣</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冲洗台下方及搅拌机下方的沉淀池沉渣需要对其定期清理，产生量约为12.0672t/a，经统一收集后，暂存外售，可用于制砖、修路等。</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（2）钢筋裁剪下脚料</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钢筋裁剪过程会产生下脚料，产生量约为钢筋用量的1%，则下脚料产生量为230t/a，暂存于一般固废暂存间，外售给废品回收站。</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（3）生活垃圾</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项目劳动定员40人，生活垃圾按照每人每天0.5kg的产生量计算，则生活垃圾产生量约为6t/a。生活垃圾收集后，定期交由环卫部门进行处理。</w:t>
            </w:r>
          </w:p>
          <w:p>
            <w:pPr>
              <w:pStyle w:val="71"/>
              <w:numPr>
                <w:ilvl w:val="0"/>
                <w:numId w:val="5"/>
              </w:numPr>
              <w:autoSpaceDE w:val="0"/>
              <w:autoSpaceDN w:val="0"/>
              <w:adjustRightInd w:val="0"/>
              <w:snapToGrid w:val="0"/>
              <w:spacing w:before="360" w:beforeLines="150"/>
              <w:ind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项目固体废物一览表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671"/>
              <w:gridCol w:w="620"/>
              <w:gridCol w:w="1136"/>
              <w:gridCol w:w="995"/>
              <w:gridCol w:w="675"/>
              <w:gridCol w:w="1113"/>
              <w:gridCol w:w="113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序号</w:t>
                  </w:r>
                </w:p>
              </w:tc>
              <w:tc>
                <w:tcPr>
                  <w:tcW w:w="411"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产污环节</w:t>
                  </w:r>
                </w:p>
              </w:tc>
              <w:tc>
                <w:tcPr>
                  <w:tcW w:w="38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固体废物名称</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产生量</w:t>
                  </w:r>
                </w:p>
              </w:tc>
              <w:tc>
                <w:tcPr>
                  <w:tcW w:w="61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废物属性</w:t>
                  </w:r>
                </w:p>
              </w:tc>
              <w:tc>
                <w:tcPr>
                  <w:tcW w:w="414"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物理性状</w:t>
                  </w:r>
                </w:p>
              </w:tc>
              <w:tc>
                <w:tcPr>
                  <w:tcW w:w="682"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贮存方式</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处置量</w:t>
                  </w:r>
                </w:p>
              </w:tc>
              <w:tc>
                <w:tcPr>
                  <w:tcW w:w="8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1</w:t>
                  </w:r>
                </w:p>
              </w:tc>
              <w:tc>
                <w:tcPr>
                  <w:tcW w:w="411"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沉淀池</w:t>
                  </w:r>
                </w:p>
              </w:tc>
              <w:tc>
                <w:tcPr>
                  <w:tcW w:w="38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沉渣</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12.0672 t/a</w:t>
                  </w:r>
                </w:p>
              </w:tc>
              <w:tc>
                <w:tcPr>
                  <w:tcW w:w="610" w:type="pct"/>
                  <w:vMerge w:val="restar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一般工业固体废物</w:t>
                  </w:r>
                </w:p>
              </w:tc>
              <w:tc>
                <w:tcPr>
                  <w:tcW w:w="414"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固体</w:t>
                  </w:r>
                </w:p>
              </w:tc>
              <w:tc>
                <w:tcPr>
                  <w:tcW w:w="682" w:type="pct"/>
                  <w:vMerge w:val="restar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一般固废暂存（</w:t>
                  </w:r>
                  <w:r>
                    <w:rPr>
                      <w:bCs/>
                      <w:color w:val="000000" w:themeColor="text1"/>
                      <w:spacing w:val="-10"/>
                      <w:szCs w:val="21"/>
                      <w14:textFill>
                        <w14:solidFill>
                          <w14:schemeClr w14:val="tx1"/>
                        </w14:solidFill>
                      </w14:textFill>
                    </w:rPr>
                    <w:t>20m</w:t>
                  </w:r>
                  <w:r>
                    <w:rPr>
                      <w:bCs/>
                      <w:color w:val="000000" w:themeColor="text1"/>
                      <w:spacing w:val="-10"/>
                      <w:szCs w:val="21"/>
                      <w:vertAlign w:val="superscript"/>
                      <w14:textFill>
                        <w14:solidFill>
                          <w14:schemeClr w14:val="tx1"/>
                        </w14:solidFill>
                      </w14:textFill>
                    </w:rPr>
                    <w:t>2</w:t>
                  </w:r>
                  <w:r>
                    <w:rPr>
                      <w:rFonts w:hint="eastAsia"/>
                      <w:bCs/>
                      <w:color w:val="000000" w:themeColor="text1"/>
                      <w:spacing w:val="-10"/>
                      <w:szCs w:val="21"/>
                      <w14:textFill>
                        <w14:solidFill>
                          <w14:schemeClr w14:val="tx1"/>
                        </w14:solidFill>
                      </w14:textFill>
                    </w:rPr>
                    <w:t>）</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12.0672 t/a</w:t>
                  </w:r>
                </w:p>
              </w:tc>
              <w:tc>
                <w:tcPr>
                  <w:tcW w:w="8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2</w:t>
                  </w:r>
                </w:p>
              </w:tc>
              <w:tc>
                <w:tcPr>
                  <w:tcW w:w="411"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钢筋裁剪</w:t>
                  </w:r>
                </w:p>
              </w:tc>
              <w:tc>
                <w:tcPr>
                  <w:tcW w:w="38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下脚料</w:t>
                  </w:r>
                </w:p>
              </w:tc>
              <w:tc>
                <w:tcPr>
                  <w:tcW w:w="696"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230t/a</w:t>
                  </w:r>
                </w:p>
              </w:tc>
              <w:tc>
                <w:tcPr>
                  <w:tcW w:w="610" w:type="pct"/>
                  <w:vMerge w:val="continue"/>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p>
              </w:tc>
              <w:tc>
                <w:tcPr>
                  <w:tcW w:w="414"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固体</w:t>
                  </w:r>
                </w:p>
              </w:tc>
              <w:tc>
                <w:tcPr>
                  <w:tcW w:w="682" w:type="pct"/>
                  <w:vMerge w:val="continue"/>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p>
              </w:tc>
              <w:tc>
                <w:tcPr>
                  <w:tcW w:w="696" w:type="pc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230t/a</w:t>
                  </w:r>
                </w:p>
              </w:tc>
              <w:tc>
                <w:tcPr>
                  <w:tcW w:w="8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收集后暂存，外售给废品回收站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3</w:t>
                  </w:r>
                </w:p>
              </w:tc>
              <w:tc>
                <w:tcPr>
                  <w:tcW w:w="411"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职工生活</w:t>
                  </w:r>
                </w:p>
              </w:tc>
              <w:tc>
                <w:tcPr>
                  <w:tcW w:w="38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生活垃圾</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6</w:t>
                  </w:r>
                  <w:r>
                    <w:rPr>
                      <w:color w:val="000000" w:themeColor="text1"/>
                      <w:szCs w:val="21"/>
                      <w14:textFill>
                        <w14:solidFill>
                          <w14:schemeClr w14:val="tx1"/>
                        </w14:solidFill>
                      </w14:textFill>
                    </w:rPr>
                    <w:t xml:space="preserve"> t/a</w:t>
                  </w:r>
                </w:p>
              </w:tc>
              <w:tc>
                <w:tcPr>
                  <w:tcW w:w="610"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生活垃圾</w:t>
                  </w:r>
                </w:p>
              </w:tc>
              <w:tc>
                <w:tcPr>
                  <w:tcW w:w="414"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w:t>
                  </w:r>
                </w:p>
              </w:tc>
              <w:tc>
                <w:tcPr>
                  <w:tcW w:w="682"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垃圾桶若干</w:t>
                  </w:r>
                </w:p>
              </w:tc>
              <w:tc>
                <w:tcPr>
                  <w:tcW w:w="696"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6</w:t>
                  </w:r>
                  <w:r>
                    <w:rPr>
                      <w:color w:val="000000" w:themeColor="text1"/>
                      <w:szCs w:val="21"/>
                      <w14:textFill>
                        <w14:solidFill>
                          <w14:schemeClr w14:val="tx1"/>
                        </w14:solidFill>
                      </w14:textFill>
                    </w:rPr>
                    <w:t xml:space="preserve"> t/a</w:t>
                  </w:r>
                </w:p>
              </w:tc>
              <w:tc>
                <w:tcPr>
                  <w:tcW w:w="855" w:type="pct"/>
                  <w:shd w:val="clear" w:color="auto" w:fill="auto"/>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集中收集后，交由环卫部门处置。</w:t>
                  </w:r>
                </w:p>
              </w:tc>
            </w:tr>
          </w:tbl>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1、环境管理要求</w:t>
            </w:r>
          </w:p>
          <w:p>
            <w:pPr>
              <w:adjustRightInd w:val="0"/>
              <w:snapToGrid w:val="0"/>
              <w:spacing w:line="48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以上一般固体废物环境管理要求如下：</w:t>
            </w:r>
          </w:p>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为避免本项目固体废物对周边环境造成二次污染，评价要求新建一座一般固废暂存间（20m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），用于储存一般工业固体废物，收集后回用于生产，经采取以上措施处理后，项目一般工业固体废物能够满足《一般工业固体废物贮存和填埋污染控制标准》（GB18599-2020）相关要求。</w:t>
            </w:r>
          </w:p>
          <w:p>
            <w:pPr>
              <w:autoSpaceDE w:val="0"/>
              <w:autoSpaceDN w:val="0"/>
              <w:adjustRightInd w:val="0"/>
              <w:snapToGrid w:val="0"/>
              <w:spacing w:line="500" w:lineRule="exact"/>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2、</w:t>
            </w:r>
            <w:r>
              <w:rPr>
                <w:color w:val="000000" w:themeColor="text1"/>
                <w:kern w:val="0"/>
                <w:sz w:val="24"/>
                <w14:textFill>
                  <w14:solidFill>
                    <w14:schemeClr w14:val="tx1"/>
                  </w14:solidFill>
                </w14:textFill>
              </w:rPr>
              <w:t>危险废物</w:t>
            </w:r>
          </w:p>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废树脂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项目锅炉用水为软化水，软化水制备过程中产生废离子交换树脂，年产生量约为0.1t/a。经查阅《国家危险废物名录》(2021年版)，本项目产生的废树脂属于“HW13有机树脂类废物”中“工业废水处理过程产生的废弃离子交换树脂”，废物代码为900-015-13，为危险废物。</w:t>
            </w:r>
          </w:p>
          <w:p>
            <w:pPr>
              <w:widowControl w:val="0"/>
              <w:numPr>
                <w:ilvl w:val="0"/>
                <w:numId w:val="5"/>
              </w:numPr>
              <w:adjustRightInd w:val="0"/>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 xml:space="preserve">   项目危险废物汇总一览表</w:t>
            </w:r>
          </w:p>
          <w:tbl>
            <w:tblPr>
              <w:tblStyle w:val="18"/>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
              <w:gridCol w:w="743"/>
              <w:gridCol w:w="611"/>
              <w:gridCol w:w="991"/>
              <w:gridCol w:w="715"/>
              <w:gridCol w:w="547"/>
              <w:gridCol w:w="664"/>
              <w:gridCol w:w="483"/>
              <w:gridCol w:w="510"/>
              <w:gridCol w:w="424"/>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序号</w:t>
                  </w:r>
                </w:p>
              </w:tc>
              <w:tc>
                <w:tcPr>
                  <w:tcW w:w="466"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危险废物名称</w:t>
                  </w:r>
                </w:p>
              </w:tc>
              <w:tc>
                <w:tcPr>
                  <w:tcW w:w="383"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危险废物类别</w:t>
                  </w:r>
                </w:p>
              </w:tc>
              <w:tc>
                <w:tcPr>
                  <w:tcW w:w="621"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危险废物代码</w:t>
                  </w:r>
                </w:p>
              </w:tc>
              <w:tc>
                <w:tcPr>
                  <w:tcW w:w="448"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产生量</w:t>
                  </w:r>
                </w:p>
              </w:tc>
              <w:tc>
                <w:tcPr>
                  <w:tcW w:w="343"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产生工序及装置</w:t>
                  </w:r>
                </w:p>
              </w:tc>
              <w:tc>
                <w:tcPr>
                  <w:tcW w:w="416"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物理性状</w:t>
                  </w:r>
                </w:p>
              </w:tc>
              <w:tc>
                <w:tcPr>
                  <w:tcW w:w="303"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主要成分</w:t>
                  </w:r>
                </w:p>
              </w:tc>
              <w:tc>
                <w:tcPr>
                  <w:tcW w:w="320"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有害成分</w:t>
                  </w:r>
                </w:p>
              </w:tc>
              <w:tc>
                <w:tcPr>
                  <w:tcW w:w="266"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危废特性</w:t>
                  </w:r>
                </w:p>
              </w:tc>
              <w:tc>
                <w:tcPr>
                  <w:tcW w:w="1252"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2"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1</w:t>
                  </w:r>
                </w:p>
              </w:tc>
              <w:tc>
                <w:tcPr>
                  <w:tcW w:w="466"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有机树脂类废物</w:t>
                  </w:r>
                </w:p>
              </w:tc>
              <w:tc>
                <w:tcPr>
                  <w:tcW w:w="383"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HW13</w:t>
                  </w:r>
                </w:p>
              </w:tc>
              <w:tc>
                <w:tcPr>
                  <w:tcW w:w="621"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900-015-13</w:t>
                  </w:r>
                </w:p>
              </w:tc>
              <w:tc>
                <w:tcPr>
                  <w:tcW w:w="448"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0.1t/a</w:t>
                  </w:r>
                </w:p>
              </w:tc>
              <w:tc>
                <w:tcPr>
                  <w:tcW w:w="343"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软化水制备</w:t>
                  </w:r>
                </w:p>
              </w:tc>
              <w:tc>
                <w:tcPr>
                  <w:tcW w:w="416" w:type="pct"/>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固体</w:t>
                  </w:r>
                </w:p>
              </w:tc>
              <w:tc>
                <w:tcPr>
                  <w:tcW w:w="303" w:type="pct"/>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废树脂</w:t>
                  </w:r>
                </w:p>
              </w:tc>
              <w:tc>
                <w:tcPr>
                  <w:tcW w:w="320" w:type="pct"/>
                  <w:vAlign w:val="center"/>
                </w:tcPr>
                <w:p>
                  <w:pPr>
                    <w:widowControl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废树脂</w:t>
                  </w:r>
                </w:p>
              </w:tc>
              <w:tc>
                <w:tcPr>
                  <w:tcW w:w="266"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T</w:t>
                  </w:r>
                </w:p>
              </w:tc>
              <w:tc>
                <w:tcPr>
                  <w:tcW w:w="1252" w:type="pct"/>
                  <w:vAlign w:val="center"/>
                </w:tcPr>
                <w:p>
                  <w:pPr>
                    <w:adjustRightInd w:val="0"/>
                    <w:snapToGrid w:val="0"/>
                    <w:ind w:left="-126" w:leftChars="-60" w:right="-126" w:rightChars="-6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经密封罐储存后，存放于危废暂存间（10m</w:t>
                  </w:r>
                  <w:r>
                    <w:rPr>
                      <w:bCs/>
                      <w:color w:val="000000" w:themeColor="text1"/>
                      <w:spacing w:val="-10"/>
                      <w:szCs w:val="21"/>
                      <w:vertAlign w:val="superscript"/>
                      <w14:textFill>
                        <w14:solidFill>
                          <w14:schemeClr w14:val="tx1"/>
                        </w14:solidFill>
                      </w14:textFill>
                    </w:rPr>
                    <w:t>2</w:t>
                  </w:r>
                  <w:r>
                    <w:rPr>
                      <w:bCs/>
                      <w:color w:val="000000" w:themeColor="text1"/>
                      <w:spacing w:val="-10"/>
                      <w:szCs w:val="21"/>
                      <w14:textFill>
                        <w14:solidFill>
                          <w14:schemeClr w14:val="tx1"/>
                        </w14:solidFill>
                      </w14:textFill>
                    </w:rPr>
                    <w:t>），定期委托具有资质的单位安全处置</w:t>
                  </w:r>
                </w:p>
              </w:tc>
            </w:tr>
          </w:tbl>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以上危险废物环境管理要求如下：</w:t>
            </w:r>
          </w:p>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为避免项目产生的危险废物对周边环境产生二次污染，评价要求企业建设1座10m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的危废暂存间，危险废物经桶装密封后存放于危废暂存间内，该危废暂存间应具有防风、防雨、防晒、防渗漏的功能，暂存间设置双人双锁管理，并设置明显的标示和警告牌，交由专门人员负责看管；危险废物的转移应遵从《危险废物转移联单管理办法》及其他有关规定要求，并禁止在转移过程中将危险废物排放至而环境中，按照危险固废处置程序，纳入“五联单”管理制度，定期委托具有危险废物处理资质的单位处置，经采取以上措施后，危险废物处置方式能够满足《危险废物贮存污染控制标准》（GB18597-2001）及 2013 修改单的相关要求。</w:t>
            </w:r>
          </w:p>
          <w:p>
            <w:pPr>
              <w:autoSpaceDE w:val="0"/>
              <w:autoSpaceDN w:val="0"/>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综上所述，项目产生的固体废物均能得到妥善的处理和处置，不会对周围环境造成二次污染。</w:t>
            </w:r>
          </w:p>
          <w:p>
            <w:pPr>
              <w:autoSpaceDE w:val="0"/>
              <w:autoSpaceDN w:val="0"/>
              <w:adjustRightInd w:val="0"/>
              <w:snapToGrid w:val="0"/>
              <w:spacing w:line="50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五、地下水</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本项目设计的各项污水处理设备严格按照正常工况下污水处理设施各构筑物采取严格的防渗、防溢流等措施，废水不会渗漏进入地下水。根据现场调查，项目评价区域无饮用水源地等地下水环境保护目标。</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综上可知，项目建设对周边地下水环境影响可以接受。</w:t>
            </w:r>
          </w:p>
          <w:p>
            <w:pPr>
              <w:adjustRightInd w:val="0"/>
              <w:snapToGrid w:val="0"/>
              <w:spacing w:line="50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六、土壤</w:t>
            </w:r>
          </w:p>
          <w:p>
            <w:pPr>
              <w:adjustRightInd w:val="0"/>
              <w:snapToGrid w:val="0"/>
              <w:spacing w:line="520" w:lineRule="exact"/>
              <w:ind w:firstLine="480" w:firstLineChars="200"/>
              <w:rPr>
                <w:b/>
                <w:color w:val="000000" w:themeColor="text1"/>
                <w:sz w:val="24"/>
                <w14:textFill>
                  <w14:solidFill>
                    <w14:schemeClr w14:val="tx1"/>
                  </w14:solidFill>
                </w14:textFill>
              </w:rPr>
            </w:pPr>
            <w:r>
              <w:rPr>
                <w:bCs/>
                <w:color w:val="000000" w:themeColor="text1"/>
                <w:sz w:val="24"/>
                <w14:textFill>
                  <w14:solidFill>
                    <w14:schemeClr w14:val="tx1"/>
                  </w14:solidFill>
                </w14:textFill>
              </w:rPr>
              <w:t>项目建成后遵循厂区地面不硬化就绿化的原则，不涉及对土壤污染的途径，对周围土壤环境影响较小，故从土壤环境影响的角度，项目建设可行。</w:t>
            </w:r>
          </w:p>
          <w:p>
            <w:pPr>
              <w:adjustRightInd w:val="0"/>
              <w:snapToGrid w:val="0"/>
              <w:spacing w:line="50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七、生态环境</w:t>
            </w:r>
          </w:p>
          <w:p>
            <w:pPr>
              <w:adjustRightInd w:val="0"/>
              <w:snapToGrid w:val="0"/>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所在区域属于新乡市获嘉县太山镇罗旗营村西南角，项目所在区域无生态环境保护目标，项目建成后应加强厂区及周边绿化，遵循厂区地面不硬化就绿化的原则，项目生产运行不会对周边生态环境造成不良影响。</w:t>
            </w:r>
          </w:p>
          <w:p>
            <w:pPr>
              <w:pStyle w:val="14"/>
              <w:adjustRightInd w:val="0"/>
              <w:snapToGrid w:val="0"/>
              <w:spacing w:before="0" w:beforeAutospacing="0" w:after="0" w:afterAutospacing="0" w:line="500" w:lineRule="exact"/>
              <w:ind w:firstLine="482" w:firstLineChars="20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八、环境风险</w:t>
            </w:r>
          </w:p>
          <w:p>
            <w:pPr>
              <w:widowControl w:val="0"/>
              <w:adjustRightInd w:val="0"/>
              <w:snapToGrid w:val="0"/>
              <w:spacing w:line="520" w:lineRule="exact"/>
              <w:ind w:firstLine="440" w:firstLineChars="200"/>
              <w:jc w:val="both"/>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根据《建设项目环境风险评价技术导则》(HJ 169-2018)，环境风险评价应以突发性事故导致的危险物质环境急性损害防控为目标，对建设项目的环境风险进行分析、预测和评估，提出环境风险预防、控制、减缓措施。</w:t>
            </w:r>
          </w:p>
          <w:p>
            <w:pPr>
              <w:widowControl w:val="0"/>
              <w:adjustRightInd w:val="0"/>
              <w:snapToGrid w:val="0"/>
              <w:spacing w:line="520" w:lineRule="exact"/>
              <w:ind w:firstLine="440" w:firstLineChars="200"/>
              <w:jc w:val="both"/>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1、环境风险潜势初判</w:t>
            </w:r>
          </w:p>
          <w:p>
            <w:pPr>
              <w:widowControl w:val="0"/>
              <w:numPr>
                <w:ilvl w:val="0"/>
                <w:numId w:val="5"/>
              </w:num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 xml:space="preserve">    建设项目Q值确定表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1610"/>
              <w:gridCol w:w="2225"/>
              <w:gridCol w:w="1661"/>
              <w:gridCol w:w="16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0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w:t>
                  </w:r>
                </w:p>
              </w:tc>
              <w:tc>
                <w:tcPr>
                  <w:tcW w:w="136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最大存储量t</w:t>
                  </w:r>
                </w:p>
              </w:tc>
              <w:tc>
                <w:tcPr>
                  <w:tcW w:w="101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临界量t</w:t>
                  </w:r>
                </w:p>
              </w:tc>
              <w:tc>
                <w:tcPr>
                  <w:tcW w:w="10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q/Q</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0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w:t>
                  </w:r>
                </w:p>
              </w:tc>
              <w:tc>
                <w:tcPr>
                  <w:tcW w:w="9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84万m</w:t>
                  </w:r>
                  <w:r>
                    <w:rPr>
                      <w:color w:val="000000" w:themeColor="text1"/>
                      <w:szCs w:val="21"/>
                      <w:vertAlign w:val="superscript"/>
                      <w14:textFill>
                        <w14:solidFill>
                          <w14:schemeClr w14:val="tx1"/>
                        </w14:solidFill>
                      </w14:textFill>
                    </w:rPr>
                    <w:t>3</w:t>
                  </w:r>
                </w:p>
              </w:tc>
              <w:tc>
                <w:tcPr>
                  <w:tcW w:w="136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（约3.9t）</w:t>
                  </w:r>
                </w:p>
              </w:tc>
              <w:tc>
                <w:tcPr>
                  <w:tcW w:w="101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3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0.39</w:t>
                  </w:r>
                </w:p>
              </w:tc>
            </w:tr>
          </w:tbl>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根据《建设项目环境风险评价技术导则》（HJ169-2018）附录C中式C.1进行计算：</w:t>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drawing>
                <wp:inline distT="0" distB="0" distL="0" distR="0">
                  <wp:extent cx="1849120" cy="4845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49120" cy="484505"/>
                          </a:xfrm>
                          <a:prstGeom prst="rect">
                            <a:avLst/>
                          </a:prstGeom>
                          <a:noFill/>
                          <a:ln>
                            <a:noFill/>
                          </a:ln>
                        </pic:spPr>
                      </pic:pic>
                    </a:graphicData>
                  </a:graphic>
                </wp:inline>
              </w:drawing>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式中：q1，q2，…，qn -每种危险物质的最大存在总量，t；</w:t>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Q1，Q2，…，Q n -每种危险物质的临界量，t。</w:t>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当Q﹤1时，该项目环境风险潜势为</w:t>
            </w:r>
            <w:r>
              <w:rPr>
                <w:rFonts w:hint="eastAsia" w:ascii="宋体" w:hAnsi="宋体" w:cs="宋体"/>
                <w:color w:val="000000" w:themeColor="text1"/>
                <w:spacing w:val="10"/>
                <w:kern w:val="0"/>
                <w:sz w:val="24"/>
                <w14:textFill>
                  <w14:solidFill>
                    <w14:schemeClr w14:val="tx1"/>
                  </w14:solidFill>
                </w14:textFill>
              </w:rPr>
              <w:t>Ⅰ</w:t>
            </w:r>
            <w:r>
              <w:rPr>
                <w:color w:val="000000" w:themeColor="text1"/>
                <w:spacing w:val="10"/>
                <w:kern w:val="0"/>
                <w:sz w:val="24"/>
                <w14:textFill>
                  <w14:solidFill>
                    <w14:schemeClr w14:val="tx1"/>
                  </w14:solidFill>
                </w14:textFill>
              </w:rPr>
              <w:t>。</w:t>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当Q≥1时，将Q值划分为：（1）1≤Q﹤10；（2）10≤Q﹤100；（3）Q≥100。</w:t>
            </w:r>
          </w:p>
          <w:p>
            <w:pPr>
              <w:widowControl w:val="0"/>
              <w:adjustRightInd w:val="0"/>
              <w:snapToGrid w:val="0"/>
              <w:spacing w:before="50" w:after="50" w:line="360" w:lineRule="auto"/>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经计算，本项目Q值为0.39﹤1，环境风险潜势为</w:t>
            </w:r>
            <w:r>
              <w:rPr>
                <w:rFonts w:hint="eastAsia" w:ascii="宋体" w:hAnsi="宋体" w:cs="宋体"/>
                <w:color w:val="000000" w:themeColor="text1"/>
                <w:spacing w:val="10"/>
                <w:kern w:val="0"/>
                <w:sz w:val="24"/>
                <w14:textFill>
                  <w14:solidFill>
                    <w14:schemeClr w14:val="tx1"/>
                  </w14:solidFill>
                </w14:textFill>
              </w:rPr>
              <w:t>Ⅰ</w:t>
            </w:r>
            <w:r>
              <w:rPr>
                <w:color w:val="000000" w:themeColor="text1"/>
                <w:spacing w:val="10"/>
                <w:kern w:val="0"/>
                <w:sz w:val="24"/>
                <w14:textFill>
                  <w14:solidFill>
                    <w14:schemeClr w14:val="tx1"/>
                  </w14:solidFill>
                </w14:textFill>
              </w:rPr>
              <w:t>。</w:t>
            </w:r>
          </w:p>
          <w:p>
            <w:pPr>
              <w:widowControl w:val="0"/>
              <w:adjustRightInd w:val="0"/>
              <w:snapToGrid w:val="0"/>
              <w:spacing w:before="50" w:after="50" w:line="520" w:lineRule="exact"/>
              <w:ind w:firstLine="520" w:firstLineChars="200"/>
              <w:rPr>
                <w:color w:val="000000" w:themeColor="text1"/>
                <w:spacing w:val="10"/>
                <w:kern w:val="0"/>
                <w:sz w:val="24"/>
                <w14:textFill>
                  <w14:solidFill>
                    <w14:schemeClr w14:val="tx1"/>
                  </w14:solidFill>
                </w14:textFill>
              </w:rPr>
            </w:pPr>
            <w:r>
              <w:rPr>
                <w:color w:val="000000" w:themeColor="text1"/>
                <w:spacing w:val="10"/>
                <w:kern w:val="0"/>
                <w:sz w:val="24"/>
                <w14:textFill>
                  <w14:solidFill>
                    <w14:schemeClr w14:val="tx1"/>
                  </w14:solidFill>
                </w14:textFill>
              </w:rPr>
              <w:t>根据《建设项目环境风险评价技术导则》（HJ169-2018）环境风险评价等级划分，本项目风险潜势为</w:t>
            </w:r>
            <w:r>
              <w:rPr>
                <w:color w:val="000000" w:themeColor="text1"/>
                <w:spacing w:val="10"/>
                <w:kern w:val="0"/>
                <w:sz w:val="24"/>
                <w14:textFill>
                  <w14:solidFill>
                    <w14:schemeClr w14:val="tx1"/>
                  </w14:solidFill>
                </w14:textFill>
              </w:rPr>
              <w:fldChar w:fldCharType="begin"/>
            </w:r>
            <w:r>
              <w:rPr>
                <w:color w:val="000000" w:themeColor="text1"/>
                <w:spacing w:val="10"/>
                <w:kern w:val="0"/>
                <w:sz w:val="24"/>
                <w14:textFill>
                  <w14:solidFill>
                    <w14:schemeClr w14:val="tx1"/>
                  </w14:solidFill>
                </w14:textFill>
              </w:rPr>
              <w:instrText xml:space="preserve"> = 1 \* ROMAN </w:instrText>
            </w:r>
            <w:r>
              <w:rPr>
                <w:color w:val="000000" w:themeColor="text1"/>
                <w:spacing w:val="10"/>
                <w:kern w:val="0"/>
                <w:sz w:val="24"/>
                <w14:textFill>
                  <w14:solidFill>
                    <w14:schemeClr w14:val="tx1"/>
                  </w14:solidFill>
                </w14:textFill>
              </w:rPr>
              <w:fldChar w:fldCharType="separate"/>
            </w:r>
            <w:r>
              <w:rPr>
                <w:color w:val="000000" w:themeColor="text1"/>
                <w:spacing w:val="10"/>
                <w:kern w:val="0"/>
                <w:sz w:val="24"/>
                <w14:textFill>
                  <w14:solidFill>
                    <w14:schemeClr w14:val="tx1"/>
                  </w14:solidFill>
                </w14:textFill>
              </w:rPr>
              <w:t>I</w:t>
            </w:r>
            <w:r>
              <w:rPr>
                <w:color w:val="000000" w:themeColor="text1"/>
                <w:spacing w:val="10"/>
                <w:kern w:val="0"/>
                <w:sz w:val="24"/>
                <w14:textFill>
                  <w14:solidFill>
                    <w14:schemeClr w14:val="tx1"/>
                  </w14:solidFill>
                </w14:textFill>
              </w:rPr>
              <w:fldChar w:fldCharType="end"/>
            </w:r>
            <w:r>
              <w:rPr>
                <w:color w:val="000000" w:themeColor="text1"/>
                <w:spacing w:val="10"/>
                <w:kern w:val="0"/>
                <w:sz w:val="24"/>
                <w14:textFill>
                  <w14:solidFill>
                    <w14:schemeClr w14:val="tx1"/>
                  </w14:solidFill>
                </w14:textFill>
              </w:rPr>
              <w:t>。因此本项目评价等级为：简单分析。</w:t>
            </w:r>
          </w:p>
          <w:p>
            <w:pPr>
              <w:pStyle w:val="71"/>
              <w:numPr>
                <w:ilvl w:val="0"/>
                <w:numId w:val="5"/>
              </w:numPr>
              <w:autoSpaceDE w:val="0"/>
              <w:autoSpaceDN w:val="0"/>
              <w:adjustRightInd w:val="0"/>
              <w:snapToGrid w:val="0"/>
              <w:spacing w:before="240" w:beforeLines="100"/>
              <w:ind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   评价工作等级划分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632"/>
              <w:gridCol w:w="1631"/>
              <w:gridCol w:w="1631"/>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9"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IV</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IV</w:t>
                  </w:r>
                  <w:r>
                    <w:rPr>
                      <w:color w:val="000000" w:themeColor="text1"/>
                      <w14:textFill>
                        <w14:solidFill>
                          <w14:schemeClr w14:val="tx1"/>
                        </w14:solidFill>
                      </w14:textFill>
                    </w:rPr>
                    <w:fldChar w:fldCharType="end"/>
                  </w:r>
                  <w:r>
                    <w:rPr>
                      <w:color w:val="000000" w:themeColor="text1"/>
                      <w:vertAlign w:val="superscript"/>
                      <w14:textFill>
                        <w14:solidFill>
                          <w14:schemeClr w14:val="tx1"/>
                        </w14:solidFill>
                      </w14:textFill>
                    </w:rPr>
                    <w:t>+</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III</w:t>
                  </w:r>
                  <w:r>
                    <w:rPr>
                      <w:color w:val="000000" w:themeColor="text1"/>
                      <w14:textFill>
                        <w14:solidFill>
                          <w14:schemeClr w14:val="tx1"/>
                        </w14:solidFill>
                      </w14:textFill>
                    </w:rPr>
                    <w:fldChar w:fldCharType="end"/>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color w:val="000000" w:themeColor="text1"/>
                      <w14:textFill>
                        <w14:solidFill>
                          <w14:schemeClr w14:val="tx1"/>
                        </w14:solidFill>
                      </w14:textFill>
                    </w:rPr>
                    <w:fldChar w:fldCharType="end"/>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9"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1790" w:type="dxa"/>
                  <w:vAlign w:val="center"/>
                </w:tcPr>
                <w:p>
                  <w:pPr>
                    <w:widowControl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简单分析</w:t>
                  </w:r>
                </w:p>
              </w:tc>
            </w:tr>
          </w:tbl>
          <w:p>
            <w:pPr>
              <w:widowControl w:val="0"/>
              <w:adjustRightInd w:val="0"/>
              <w:snapToGrid w:val="0"/>
              <w:spacing w:line="520" w:lineRule="exact"/>
              <w:ind w:firstLine="442" w:firstLineChars="200"/>
              <w:jc w:val="both"/>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3、环境风险影响分析</w:t>
            </w:r>
          </w:p>
          <w:p>
            <w:pPr>
              <w:widowControl w:val="0"/>
              <w:adjustRightInd w:val="0"/>
              <w:snapToGrid w:val="0"/>
              <w:spacing w:line="520" w:lineRule="exact"/>
              <w:ind w:firstLine="440" w:firstLineChars="200"/>
              <w:jc w:val="both"/>
              <w:rPr>
                <w:b/>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项目涉及天然气使用，天然气通过管线输送至厂区使用，厂区内设置储存站点。项目潜在环境风险事故主要为储存过程中发生泄漏事故，可能污染外环境，遇到明火或火源引发火灾。</w:t>
            </w:r>
          </w:p>
          <w:p>
            <w:pPr>
              <w:widowControl w:val="0"/>
              <w:adjustRightInd w:val="0"/>
              <w:snapToGrid w:val="0"/>
              <w:ind w:firstLine="1054" w:firstLineChars="500"/>
              <w:jc w:val="center"/>
              <w:rPr>
                <w:b/>
                <w:snapToGrid w:val="0"/>
                <w:color w:val="000000" w:themeColor="text1"/>
                <w:kern w:val="0"/>
                <w:szCs w:val="21"/>
                <w:lang w:val="zh-CN"/>
                <w14:textFill>
                  <w14:solidFill>
                    <w14:schemeClr w14:val="tx1"/>
                  </w14:solidFill>
                </w14:textFill>
              </w:rPr>
            </w:pPr>
            <w:r>
              <w:rPr>
                <w:b/>
                <w:snapToGrid w:val="0"/>
                <w:color w:val="000000" w:themeColor="text1"/>
                <w:kern w:val="0"/>
                <w:szCs w:val="21"/>
                <w14:textFill>
                  <w14:solidFill>
                    <w14:schemeClr w14:val="tx1"/>
                  </w14:solidFill>
                </w14:textFill>
              </w:rPr>
              <w:t xml:space="preserve">表27 </w:t>
            </w:r>
            <w:r>
              <w:rPr>
                <w:b/>
                <w:snapToGrid w:val="0"/>
                <w:color w:val="000000" w:themeColor="text1"/>
                <w:kern w:val="0"/>
                <w:szCs w:val="21"/>
                <w:lang w:val="zh-CN"/>
                <w14:textFill>
                  <w14:solidFill>
                    <w14:schemeClr w14:val="tx1"/>
                  </w14:solidFill>
                </w14:textFill>
              </w:rPr>
              <w:t>项目涉及风险物质的理化性质及危险特性表</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5922"/>
              <w:gridCol w:w="1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51" w:type="pct"/>
                  <w:tcBorders>
                    <w:tl2br w:val="nil"/>
                    <w:tr2bl w:val="nil"/>
                  </w:tcBorders>
                  <w:shd w:val="clear" w:color="auto" w:fill="auto"/>
                  <w:vAlign w:val="center"/>
                </w:tcPr>
                <w:p>
                  <w:pPr>
                    <w:widowControl w:val="0"/>
                    <w:jc w:val="center"/>
                    <w:rPr>
                      <w:b/>
                      <w:bCs/>
                      <w:snapToGrid w:val="0"/>
                      <w:color w:val="000000" w:themeColor="text1"/>
                      <w:kern w:val="0"/>
                      <w:szCs w:val="21"/>
                      <w:lang w:val="zh-CN"/>
                      <w14:textFill>
                        <w14:solidFill>
                          <w14:schemeClr w14:val="tx1"/>
                        </w14:solidFill>
                      </w14:textFill>
                    </w:rPr>
                  </w:pPr>
                  <w:r>
                    <w:rPr>
                      <w:b/>
                      <w:bCs/>
                      <w:snapToGrid w:val="0"/>
                      <w:color w:val="000000" w:themeColor="text1"/>
                      <w:kern w:val="0"/>
                      <w:szCs w:val="21"/>
                      <w:lang w:val="zh-CN"/>
                      <w14:textFill>
                        <w14:solidFill>
                          <w14:schemeClr w14:val="tx1"/>
                        </w14:solidFill>
                      </w14:textFill>
                    </w:rPr>
                    <w:t>名称</w:t>
                  </w:r>
                </w:p>
              </w:tc>
              <w:tc>
                <w:tcPr>
                  <w:tcW w:w="3635" w:type="pct"/>
                  <w:tcBorders>
                    <w:tl2br w:val="nil"/>
                    <w:tr2bl w:val="nil"/>
                  </w:tcBorders>
                  <w:shd w:val="clear" w:color="auto" w:fill="auto"/>
                  <w:vAlign w:val="center"/>
                </w:tcPr>
                <w:p>
                  <w:pPr>
                    <w:widowControl w:val="0"/>
                    <w:jc w:val="center"/>
                    <w:rPr>
                      <w:b/>
                      <w:bCs/>
                      <w:snapToGrid w:val="0"/>
                      <w:color w:val="000000" w:themeColor="text1"/>
                      <w:kern w:val="0"/>
                      <w:szCs w:val="21"/>
                      <w:lang w:val="zh-CN"/>
                      <w14:textFill>
                        <w14:solidFill>
                          <w14:schemeClr w14:val="tx1"/>
                        </w14:solidFill>
                      </w14:textFill>
                    </w:rPr>
                  </w:pPr>
                  <w:r>
                    <w:rPr>
                      <w:b/>
                      <w:bCs/>
                      <w:snapToGrid w:val="0"/>
                      <w:color w:val="000000" w:themeColor="text1"/>
                      <w:kern w:val="0"/>
                      <w:szCs w:val="21"/>
                      <w:lang w:val="zh-CN"/>
                      <w14:textFill>
                        <w14:solidFill>
                          <w14:schemeClr w14:val="tx1"/>
                        </w14:solidFill>
                      </w14:textFill>
                    </w:rPr>
                    <w:t>理化性质</w:t>
                  </w:r>
                </w:p>
              </w:tc>
              <w:tc>
                <w:tcPr>
                  <w:tcW w:w="714" w:type="pct"/>
                  <w:tcBorders>
                    <w:tl2br w:val="nil"/>
                    <w:tr2bl w:val="nil"/>
                  </w:tcBorders>
                  <w:shd w:val="clear" w:color="auto" w:fill="auto"/>
                  <w:vAlign w:val="center"/>
                </w:tcPr>
                <w:p>
                  <w:pPr>
                    <w:widowControl w:val="0"/>
                    <w:jc w:val="center"/>
                    <w:rPr>
                      <w:b/>
                      <w:bCs/>
                      <w:snapToGrid w:val="0"/>
                      <w:color w:val="000000" w:themeColor="text1"/>
                      <w:kern w:val="0"/>
                      <w:szCs w:val="21"/>
                      <w:lang w:val="zh-CN"/>
                      <w14:textFill>
                        <w14:solidFill>
                          <w14:schemeClr w14:val="tx1"/>
                        </w14:solidFill>
                      </w14:textFill>
                    </w:rPr>
                  </w:pPr>
                  <w:r>
                    <w:rPr>
                      <w:b/>
                      <w:bCs/>
                      <w:snapToGrid w:val="0"/>
                      <w:color w:val="000000" w:themeColor="text1"/>
                      <w:kern w:val="0"/>
                      <w:szCs w:val="21"/>
                      <w:lang w:val="zh-CN"/>
                      <w14:textFill>
                        <w14:solidFill>
                          <w14:schemeClr w14:val="tx1"/>
                        </w14:solidFill>
                      </w14:textFill>
                    </w:rPr>
                    <w:t>危害特性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51" w:type="pct"/>
                  <w:tcBorders>
                    <w:tl2br w:val="nil"/>
                    <w:tr2bl w:val="nil"/>
                  </w:tcBorders>
                  <w:shd w:val="clear" w:color="auto" w:fill="auto"/>
                  <w:vAlign w:val="center"/>
                </w:tcPr>
                <w:p>
                  <w:pPr>
                    <w:widowControl w:val="0"/>
                    <w:jc w:val="center"/>
                    <w:rPr>
                      <w:snapToGrid w:val="0"/>
                      <w:color w:val="000000" w:themeColor="text1"/>
                      <w:kern w:val="0"/>
                      <w:szCs w:val="21"/>
                      <w:lang w:val="zh-CN"/>
                      <w14:textFill>
                        <w14:solidFill>
                          <w14:schemeClr w14:val="tx1"/>
                        </w14:solidFill>
                      </w14:textFill>
                    </w:rPr>
                  </w:pPr>
                  <w:r>
                    <w:rPr>
                      <w:snapToGrid w:val="0"/>
                      <w:color w:val="000000" w:themeColor="text1"/>
                      <w:kern w:val="0"/>
                      <w:szCs w:val="21"/>
                      <w14:textFill>
                        <w14:solidFill>
                          <w14:schemeClr w14:val="tx1"/>
                        </w14:solidFill>
                      </w14:textFill>
                    </w:rPr>
                    <w:t>天然气</w:t>
                  </w:r>
                </w:p>
              </w:tc>
              <w:tc>
                <w:tcPr>
                  <w:tcW w:w="3635" w:type="pct"/>
                  <w:tcBorders>
                    <w:tl2br w:val="nil"/>
                    <w:tr2bl w:val="nil"/>
                  </w:tcBorders>
                  <w:shd w:val="clear" w:color="auto" w:fill="auto"/>
                  <w:vAlign w:val="center"/>
                </w:tcPr>
                <w:p>
                  <w:pPr>
                    <w:widowControl w:val="0"/>
                    <w:jc w:val="center"/>
                    <w:rPr>
                      <w:snapToGrid w:val="0"/>
                      <w:color w:val="000000" w:themeColor="text1"/>
                      <w:kern w:val="0"/>
                      <w:szCs w:val="21"/>
                      <w14:textFill>
                        <w14:solidFill>
                          <w14:schemeClr w14:val="tx1"/>
                        </w14:solidFill>
                      </w14:textFill>
                    </w:rPr>
                  </w:pPr>
                  <w:r>
                    <w:rPr>
                      <w:snapToGrid w:val="0"/>
                      <w:color w:val="000000" w:themeColor="text1"/>
                      <w:kern w:val="0"/>
                      <w:szCs w:val="21"/>
                      <w:lang w:val="zh-CN"/>
                      <w14:textFill>
                        <w14:solidFill>
                          <w14:schemeClr w14:val="tx1"/>
                        </w14:solidFill>
                      </w14:textFill>
                    </w:rPr>
                    <w:t>烃为主体的混合气体的统称，主要由甲烷(85%)和少量乙烷(9%)、丙烷(3%)、氮(2%)和丁烷(1%)组成，比重约 0.65，比空气轻，具有无色、无味、无毒之特性</w:t>
                  </w:r>
                </w:p>
              </w:tc>
              <w:tc>
                <w:tcPr>
                  <w:tcW w:w="714" w:type="pct"/>
                  <w:tcBorders>
                    <w:tl2br w:val="nil"/>
                    <w:tr2bl w:val="nil"/>
                  </w:tcBorders>
                  <w:shd w:val="clear" w:color="auto" w:fill="auto"/>
                  <w:vAlign w:val="center"/>
                </w:tcPr>
                <w:p>
                  <w:pPr>
                    <w:widowControl w:val="0"/>
                    <w:jc w:val="center"/>
                    <w:rPr>
                      <w:snapToGrid w:val="0"/>
                      <w:color w:val="000000" w:themeColor="text1"/>
                      <w:kern w:val="0"/>
                      <w:szCs w:val="21"/>
                      <w:lang w:val="zh-CN"/>
                      <w14:textFill>
                        <w14:solidFill>
                          <w14:schemeClr w14:val="tx1"/>
                        </w14:solidFill>
                      </w14:textFill>
                    </w:rPr>
                  </w:pPr>
                  <w:r>
                    <w:rPr>
                      <w:snapToGrid w:val="0"/>
                      <w:color w:val="000000" w:themeColor="text1"/>
                      <w:kern w:val="0"/>
                      <w:szCs w:val="21"/>
                      <w14:textFill>
                        <w14:solidFill>
                          <w14:schemeClr w14:val="tx1"/>
                        </w14:solidFill>
                      </w14:textFill>
                    </w:rPr>
                    <w:t>易燃</w:t>
                  </w:r>
                </w:p>
              </w:tc>
            </w:tr>
          </w:tbl>
          <w:p>
            <w:pPr>
              <w:widowControl w:val="0"/>
              <w:adjustRightInd w:val="0"/>
              <w:snapToGrid w:val="0"/>
              <w:spacing w:line="500" w:lineRule="exact"/>
              <w:ind w:firstLine="442" w:firstLineChars="200"/>
              <w:jc w:val="both"/>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4、风险防控措施</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配备相应品种和数量的防火器材。禁止使用易产生火花的机械设备和工具。加强员工的思想、道德教育，提高员工的责任心和主观能动性；建立事故预防、监测、检验、报警系统：当发生泄漏事故时能及时报警，使事故能够得到及时扼杀；提高项目生产的自动化控制水平，减少生产系统的操作偏差，确保拟建项目的生产安全。针对本项目，评价建议企业采取以下风险防范措施：</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①</w:t>
            </w:r>
            <w:r>
              <w:rPr>
                <w:bCs/>
                <w:color w:val="000000" w:themeColor="text1"/>
                <w:spacing w:val="-10"/>
                <w:sz w:val="24"/>
                <w14:textFill>
                  <w14:solidFill>
                    <w14:schemeClr w14:val="tx1"/>
                  </w14:solidFill>
                </w14:textFill>
              </w:rPr>
              <w:t>配备足够的消防设施，个人防护设备；</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②</w:t>
            </w:r>
            <w:r>
              <w:rPr>
                <w:bCs/>
                <w:color w:val="000000" w:themeColor="text1"/>
                <w:spacing w:val="-10"/>
                <w:sz w:val="24"/>
                <w14:textFill>
                  <w14:solidFill>
                    <w14:schemeClr w14:val="tx1"/>
                  </w14:solidFill>
                </w14:textFill>
              </w:rPr>
              <w:t>储气装置设有阻火器，防止回火；</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③</w:t>
            </w:r>
            <w:r>
              <w:rPr>
                <w:bCs/>
                <w:color w:val="000000" w:themeColor="text1"/>
                <w:spacing w:val="-10"/>
                <w:sz w:val="24"/>
                <w14:textFill>
                  <w14:solidFill>
                    <w14:schemeClr w14:val="tx1"/>
                  </w14:solidFill>
                </w14:textFill>
              </w:rPr>
              <w:t>加强对系统设备和密封单元的维护保养，严防泄漏；应有急救设施、救援通道及应急疏散通道；</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④</w:t>
            </w:r>
            <w:r>
              <w:rPr>
                <w:bCs/>
                <w:color w:val="000000" w:themeColor="text1"/>
                <w:spacing w:val="-10"/>
                <w:sz w:val="24"/>
                <w14:textFill>
                  <w14:solidFill>
                    <w14:schemeClr w14:val="tx1"/>
                  </w14:solidFill>
                </w14:textFill>
              </w:rPr>
              <w:t>加强岗位培训，落实规范操作及安全生产责任制。</w:t>
            </w:r>
          </w:p>
          <w:p>
            <w:pPr>
              <w:widowControl w:val="0"/>
              <w:adjustRightInd w:val="0"/>
              <w:snapToGrid w:val="0"/>
              <w:spacing w:line="500" w:lineRule="exact"/>
              <w:ind w:firstLine="442" w:firstLineChars="200"/>
              <w:jc w:val="both"/>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4、事故应急措施</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①</w:t>
            </w:r>
            <w:r>
              <w:rPr>
                <w:bCs/>
                <w:color w:val="000000" w:themeColor="text1"/>
                <w:spacing w:val="-10"/>
                <w:sz w:val="24"/>
                <w14:textFill>
                  <w14:solidFill>
                    <w14:schemeClr w14:val="tx1"/>
                  </w14:solidFill>
                </w14:textFill>
              </w:rPr>
              <w:t>加强消防设施和灭火器材的配备，严格落实有关消防技术规范的规定，加强人员疏散设施管理，保证疏散通道畅通。</w:t>
            </w:r>
          </w:p>
          <w:p>
            <w:pPr>
              <w:widowControl w:val="0"/>
              <w:adjustRightInd w:val="0"/>
              <w:snapToGrid w:val="0"/>
              <w:spacing w:line="500" w:lineRule="exact"/>
              <w:ind w:firstLine="38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②</w:t>
            </w:r>
            <w:r>
              <w:rPr>
                <w:bCs/>
                <w:color w:val="000000" w:themeColor="text1"/>
                <w:spacing w:val="-10"/>
                <w:sz w:val="24"/>
                <w14:textFill>
                  <w14:solidFill>
                    <w14:schemeClr w14:val="tx1"/>
                  </w14:solidFill>
                </w14:textFill>
              </w:rPr>
              <w:t>定期进行防火安全检查，确保消防设施完整好用。</w:t>
            </w:r>
          </w:p>
          <w:p>
            <w:pPr>
              <w:widowControl w:val="0"/>
              <w:adjustRightInd w:val="0"/>
              <w:snapToGrid w:val="0"/>
              <w:spacing w:line="500" w:lineRule="exact"/>
              <w:ind w:firstLine="38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③</w:t>
            </w:r>
            <w:r>
              <w:rPr>
                <w:bCs/>
                <w:color w:val="000000" w:themeColor="text1"/>
                <w:spacing w:val="-10"/>
                <w:sz w:val="24"/>
                <w14:textFill>
                  <w14:solidFill>
                    <w14:schemeClr w14:val="tx1"/>
                  </w14:solidFill>
                </w14:textFill>
              </w:rPr>
              <w:t>公司要求职工应遵守各项规章制度，杜绝“三违”(违章作业、违章指挥、违反劳动纪律)，作业时要遵守各项规定(如动火、高处作业、进入设备作业等规定)、要求，确保安全生产。</w:t>
            </w:r>
          </w:p>
          <w:p>
            <w:pPr>
              <w:widowControl w:val="0"/>
              <w:adjustRightInd w:val="0"/>
              <w:snapToGrid w:val="0"/>
              <w:spacing w:line="500" w:lineRule="exact"/>
              <w:ind w:firstLine="380"/>
              <w:jc w:val="both"/>
              <w:rPr>
                <w:bCs/>
                <w:color w:val="000000" w:themeColor="text1"/>
                <w:spacing w:val="-10"/>
                <w:sz w:val="24"/>
                <w14:textFill>
                  <w14:solidFill>
                    <w14:schemeClr w14:val="tx1"/>
                  </w14:solidFill>
                </w14:textFill>
              </w:rPr>
            </w:pPr>
            <w:r>
              <w:rPr>
                <w:rFonts w:hint="eastAsia" w:ascii="宋体" w:hAnsi="宋体" w:cs="宋体"/>
                <w:bCs/>
                <w:color w:val="000000" w:themeColor="text1"/>
                <w:spacing w:val="-10"/>
                <w:sz w:val="24"/>
                <w14:textFill>
                  <w14:solidFill>
                    <w14:schemeClr w14:val="tx1"/>
                  </w14:solidFill>
                </w14:textFill>
              </w:rPr>
              <w:t>④</w:t>
            </w:r>
            <w:r>
              <w:rPr>
                <w:bCs/>
                <w:color w:val="000000" w:themeColor="text1"/>
                <w:spacing w:val="-10"/>
                <w:sz w:val="24"/>
                <w14:textFill>
                  <w14:solidFill>
                    <w14:schemeClr w14:val="tx1"/>
                  </w14:solidFill>
                </w14:textFill>
              </w:rPr>
              <w:t>公司强化安全、消防和环保管理，完善环保安全管理机构，完善各项管理制度，加强日常监督检查；厂区内严禁烟火，严格动火审批制度，进料车辆必须戴阻火器。</w:t>
            </w:r>
          </w:p>
          <w:p>
            <w:pPr>
              <w:widowControl w:val="0"/>
              <w:adjustRightInd w:val="0"/>
              <w:snapToGrid w:val="0"/>
              <w:spacing w:line="500" w:lineRule="exact"/>
              <w:ind w:firstLine="440" w:firstLineChars="200"/>
              <w:jc w:val="both"/>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项目不涉及危险物质储存，不构成重大危险源。配套相应的应急物质及事故应急池的前提下，在加强厂区防火管理、完善事故应急预案的基础上，事故发生概率很低，经过采取妥善的风险防范措施，本项目环境风险在可接受的范围内。</w:t>
            </w:r>
          </w:p>
          <w:p>
            <w:pPr>
              <w:widowControl w:val="0"/>
              <w:adjustRightInd w:val="0"/>
              <w:snapToGrid w:val="0"/>
              <w:spacing w:line="500" w:lineRule="exact"/>
              <w:ind w:firstLine="442" w:firstLineChars="200"/>
              <w:jc w:val="both"/>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5、环境风险结论</w:t>
            </w:r>
          </w:p>
          <w:p>
            <w:pPr>
              <w:widowControl w:val="0"/>
              <w:adjustRightInd w:val="0"/>
              <w:snapToGrid w:val="0"/>
              <w:ind w:firstLine="1476" w:firstLineChars="700"/>
              <w:jc w:val="center"/>
              <w:rPr>
                <w:b/>
                <w:color w:val="000000" w:themeColor="text1"/>
                <w:kern w:val="24"/>
                <w:szCs w:val="21"/>
                <w14:textFill>
                  <w14:solidFill>
                    <w14:schemeClr w14:val="tx1"/>
                  </w14:solidFill>
                </w14:textFill>
              </w:rPr>
            </w:pPr>
            <w:r>
              <w:rPr>
                <w:b/>
                <w:color w:val="000000" w:themeColor="text1"/>
                <w:kern w:val="24"/>
                <w:szCs w:val="21"/>
                <w14:textFill>
                  <w14:solidFill>
                    <w14:schemeClr w14:val="tx1"/>
                  </w14:solidFill>
                </w14:textFill>
              </w:rPr>
              <w:t>表28   建设项目环境风险简单分析内容表</w:t>
            </w:r>
          </w:p>
          <w:tbl>
            <w:tblPr>
              <w:tblStyle w:val="18"/>
              <w:tblW w:w="80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1572"/>
              <w:gridCol w:w="1119"/>
              <w:gridCol w:w="1511"/>
              <w:gridCol w:w="1181"/>
              <w:gridCol w:w="1347"/>
              <w:gridCol w:w="13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trHeight w:val="279"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507" w:type="dxa"/>
                  <w:gridSpan w:val="5"/>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年产16万立方米装配式预制构件、年产20万吨连续式泡沫沥青厂拌新型材料项目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79"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111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（河南）省</w:t>
                  </w:r>
                </w:p>
              </w:tc>
              <w:tc>
                <w:tcPr>
                  <w:tcW w:w="151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（新乡）市</w:t>
                  </w:r>
                </w:p>
              </w:tc>
              <w:tc>
                <w:tcPr>
                  <w:tcW w:w="118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w:t>
                  </w:r>
                </w:p>
              </w:tc>
              <w:tc>
                <w:tcPr>
                  <w:tcW w:w="1347"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（获嘉）县</w:t>
                  </w:r>
                </w:p>
              </w:tc>
              <w:tc>
                <w:tcPr>
                  <w:tcW w:w="134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trHeight w:val="279"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111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51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114°40′6.60″</w:t>
                  </w:r>
                </w:p>
              </w:tc>
              <w:tc>
                <w:tcPr>
                  <w:tcW w:w="118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2696" w:type="dxa"/>
                  <w:gridSpan w:val="2"/>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35°12′2.36″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818"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主要危险物质及分布</w:t>
                  </w:r>
                </w:p>
              </w:tc>
              <w:tc>
                <w:tcPr>
                  <w:tcW w:w="6507" w:type="dxa"/>
                  <w:gridSpan w:val="5"/>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天然气储罐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trHeight w:val="90"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环境影响途径及危害后果（大气、地表水、地下水等）</w:t>
                  </w:r>
                </w:p>
              </w:tc>
              <w:tc>
                <w:tcPr>
                  <w:tcW w:w="6507" w:type="dxa"/>
                  <w:gridSpan w:val="5"/>
                  <w:tcBorders>
                    <w:tl2br w:val="nil"/>
                    <w:tr2bl w:val="nil"/>
                  </w:tcBorders>
                  <w:shd w:val="clear" w:color="auto" w:fill="auto"/>
                  <w:vAlign w:val="center"/>
                </w:tcPr>
                <w:p>
                  <w:pPr>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主要为储存过程中发生泄漏事故，可能污染外环境，遇到明火或火源引发火灾。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1191" w:hRule="atLeast"/>
                <w:jc w:val="center"/>
              </w:trPr>
              <w:tc>
                <w:tcPr>
                  <w:tcW w:w="15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6507" w:type="dxa"/>
                  <w:gridSpan w:val="5"/>
                  <w:tcBorders>
                    <w:tl2br w:val="nil"/>
                    <w:tr2bl w:val="nil"/>
                  </w:tcBorders>
                  <w:shd w:val="clear" w:color="auto" w:fill="auto"/>
                  <w:vAlign w:val="center"/>
                </w:tcPr>
                <w:p>
                  <w:pP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配备足够的消防设施，个人防护设备；</w:t>
                  </w:r>
                </w:p>
                <w:p>
                  <w:pP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color w:val="000000" w:themeColor="text1"/>
                      <w:szCs w:val="21"/>
                      <w14:textFill>
                        <w14:solidFill>
                          <w14:schemeClr w14:val="tx1"/>
                        </w14:solidFill>
                      </w14:textFill>
                    </w:rPr>
                    <w:t>储气装置设有阻火器，防止回火；</w:t>
                  </w:r>
                </w:p>
                <w:p>
                  <w:pP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color w:val="000000" w:themeColor="text1"/>
                      <w:szCs w:val="21"/>
                      <w14:textFill>
                        <w14:solidFill>
                          <w14:schemeClr w14:val="tx1"/>
                        </w14:solidFill>
                      </w14:textFill>
                    </w:rPr>
                    <w:t>加强对系统设备和密封单元的维护保养，严防泄漏；应有急救设施、救援通道及应急疏散通道；</w:t>
                  </w:r>
                </w:p>
                <w:p>
                  <w:pP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r>
                    <w:rPr>
                      <w:color w:val="000000" w:themeColor="text1"/>
                      <w:szCs w:val="21"/>
                      <w14:textFill>
                        <w14:solidFill>
                          <w14:schemeClr w14:val="tx1"/>
                        </w14:solidFill>
                      </w14:textFill>
                    </w:rPr>
                    <w:t>加强岗位培训，落实规范操作及安全生产责任制。</w:t>
                  </w:r>
                </w:p>
              </w:tc>
            </w:tr>
          </w:tbl>
          <w:p>
            <w:pPr>
              <w:widowControl w:val="0"/>
              <w:adjustRightInd w:val="0"/>
              <w:snapToGrid w:val="0"/>
              <w:spacing w:line="500" w:lineRule="exact"/>
              <w:ind w:firstLine="440" w:firstLineChars="200"/>
              <w:jc w:val="both"/>
              <w:rPr>
                <w:color w:val="000000" w:themeColor="text1"/>
                <w14:textFill>
                  <w14:solidFill>
                    <w14:schemeClr w14:val="tx1"/>
                  </w14:solidFill>
                </w14:textFill>
              </w:rPr>
            </w:pPr>
            <w:r>
              <w:rPr>
                <w:bCs/>
                <w:color w:val="000000" w:themeColor="text1"/>
                <w:spacing w:val="-10"/>
                <w:sz w:val="24"/>
                <w14:textFill>
                  <w14:solidFill>
                    <w14:schemeClr w14:val="tx1"/>
                  </w14:solidFill>
                </w14:textFill>
              </w:rPr>
              <w:t>本项目不构成重大危险源，项目营运过程中严格执行“三同时”制度，落实本报告提出的各项措施、建立和落实各项风险预警防范措施和事故应急计划，杜绝重大安全事故和重大环境污染事故的发生，产生的环境风险可控，因此，项目运行期间环境风险水平处于可接受程度。</w:t>
            </w:r>
          </w:p>
        </w:tc>
        <w:tc>
          <w:tcPr>
            <w:tcW w:w="123" w:type="pct"/>
          </w:tcPr>
          <w:p>
            <w:pPr>
              <w:spacing w:line="520" w:lineRule="exact"/>
              <w:ind w:firstLine="422"/>
              <w:rPr>
                <w:color w:val="000000" w:themeColor="text1"/>
                <w:sz w:val="24"/>
                <w14:textFill>
                  <w14:solidFill>
                    <w14:schemeClr w14:val="tx1"/>
                  </w14:solidFill>
                </w14:textFill>
              </w:rPr>
            </w:pPr>
          </w:p>
        </w:tc>
      </w:tr>
    </w:tbl>
    <w:p>
      <w:pPr>
        <w:pStyle w:val="14"/>
        <w:ind w:firstLine="600"/>
        <w:jc w:val="center"/>
        <w:outlineLvl w:val="0"/>
        <w:rPr>
          <w:rFonts w:ascii="Times New Roman" w:hAnsi="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14"/>
        <w:ind w:firstLine="600"/>
        <w:jc w:val="center"/>
        <w:outlineLvl w:val="0"/>
        <w:rPr>
          <w:rFonts w:ascii="Times New Roman" w:hAnsi="Times New Roman"/>
          <w:snapToGrid w:val="0"/>
          <w:color w:val="000000" w:themeColor="text1"/>
          <w:sz w:val="28"/>
          <w:szCs w:val="28"/>
          <w14:textFill>
            <w14:solidFill>
              <w14:schemeClr w14:val="tx1"/>
            </w14:solidFill>
          </w14:textFill>
        </w:rPr>
      </w:pPr>
      <w:r>
        <w:rPr>
          <w:rFonts w:ascii="Times New Roman" w:hAnsi="Times New Roman"/>
          <w:snapToGrid w:val="0"/>
          <w:color w:val="000000" w:themeColor="text1"/>
          <w:sz w:val="28"/>
          <w:szCs w:val="28"/>
          <w14:textFill>
            <w14:solidFill>
              <w14:schemeClr w14:val="tx1"/>
            </w14:solidFill>
          </w14:textFill>
        </w:rPr>
        <w:t>五、</w:t>
      </w:r>
      <w:bookmarkStart w:id="2" w:name="_Hlk54167917"/>
      <w:r>
        <w:rPr>
          <w:rFonts w:ascii="Times New Roman" w:hAnsi="Times New Roman"/>
          <w:snapToGrid w:val="0"/>
          <w:color w:val="000000" w:themeColor="text1"/>
          <w:sz w:val="28"/>
          <w:szCs w:val="28"/>
          <w14:textFill>
            <w14:solidFill>
              <w14:schemeClr w14:val="tx1"/>
            </w14:solidFill>
          </w14:textFill>
        </w:rPr>
        <w:t>环境保护措施监督检查清单</w:t>
      </w:r>
      <w:bookmarkEnd w:id="2"/>
    </w:p>
    <w:tbl>
      <w:tblPr>
        <w:tblStyle w:val="18"/>
        <w:tblW w:w="50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470"/>
        <w:gridCol w:w="1134"/>
        <w:gridCol w:w="2451"/>
        <w:gridCol w:w="2449"/>
        <w:gridCol w:w="5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tcBorders>
              <w:tl2br w:val="single" w:color="auto"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排放口（编号、名称）/污染源</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34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投资</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投料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物料输送DA001</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覆膜袋式除尘器+15m高排气筒（高出车间3m以上）</w:t>
            </w:r>
          </w:p>
        </w:tc>
        <w:tc>
          <w:tcPr>
            <w:tcW w:w="1349" w:type="pct"/>
            <w:vMerge w:val="restart"/>
            <w:vAlign w:val="center"/>
          </w:tcPr>
          <w:p>
            <w:pPr>
              <w:pStyle w:val="3"/>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《水泥工业大气污染物排放标准》（DB41/1953-2020）表1颗粒物排放浓度限值10mg/m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t>
            </w:r>
          </w:p>
        </w:tc>
        <w:tc>
          <w:tcPr>
            <w:tcW w:w="323" w:type="pct"/>
            <w:vMerge w:val="restart"/>
            <w:vAlign w:val="center"/>
          </w:tcPr>
          <w:p>
            <w:pPr>
              <w:pStyle w:val="3"/>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料仓储存呼吸孔DA002</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覆膜袋式除尘器+15m高排气筒（高出车间3m以上）</w:t>
            </w:r>
          </w:p>
        </w:tc>
        <w:tc>
          <w:tcPr>
            <w:tcW w:w="1349"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1#搅拌DA003</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覆膜袋式除尘器+15m高排气筒（高出车间3m以上）</w:t>
            </w:r>
          </w:p>
        </w:tc>
        <w:tc>
          <w:tcPr>
            <w:tcW w:w="1349"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2#搅拌DA004</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覆膜袋式除尘器+15m高排气筒（高出车间3m以上）</w:t>
            </w:r>
          </w:p>
        </w:tc>
        <w:tc>
          <w:tcPr>
            <w:tcW w:w="1349"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3#搅拌DA005</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覆膜袋式除尘器+15m高排气筒（高出车间3m以上）</w:t>
            </w:r>
          </w:p>
        </w:tc>
        <w:tc>
          <w:tcPr>
            <w:tcW w:w="1349"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燃气锅炉DA006</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采用低氮燃烧器+8m高排气筒（高出车间3m以上）</w:t>
            </w:r>
          </w:p>
        </w:tc>
        <w:tc>
          <w:tcPr>
            <w:tcW w:w="1349" w:type="pct"/>
            <w:vAlign w:val="center"/>
          </w:tcPr>
          <w:p>
            <w:pPr>
              <w:pStyle w:val="3"/>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《锅炉大气污染物排放标准》（DB41/2089-2021）在基准含氧量3.5%条件下，颗粒物、SO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color w:val="000000" w:themeColor="text1"/>
                <w:sz w:val="24"/>
                <w:szCs w:val="24"/>
                <w14:textFill>
                  <w14:solidFill>
                    <w14:schemeClr w14:val="tx1"/>
                  </w14:solidFill>
                </w14:textFill>
              </w:rPr>
              <w:t>浓度不高于5mg/m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、10mg/m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、30mg/m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t>
            </w: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厂界</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车间密闭，厂区道路硬化并定期清扫，料仓库顶部设置高压喷雾装置，厂区设置高空喷淋装置，厂区及料场进出口设置车辆冲洗装置</w:t>
            </w:r>
          </w:p>
        </w:tc>
        <w:tc>
          <w:tcPr>
            <w:tcW w:w="1349" w:type="pct"/>
            <w:vAlign w:val="center"/>
          </w:tcPr>
          <w:p>
            <w:pPr>
              <w:pStyle w:val="3"/>
              <w:adjustRightInd w:val="0"/>
              <w:snapToGrid w:val="0"/>
              <w:jc w:val="center"/>
              <w:rPr>
                <w:color w:val="000000" w:themeColor="text1"/>
                <w:sz w:val="24"/>
                <w:szCs w:val="24"/>
                <w14:textFill>
                  <w14:solidFill>
                    <w14:schemeClr w14:val="tx1"/>
                  </w14:solidFill>
                </w14:textFill>
              </w:rPr>
            </w:pPr>
            <w:r>
              <w:rPr>
                <w:bCs/>
                <w:color w:val="000000" w:themeColor="text1"/>
                <w:spacing w:val="-10"/>
                <w:sz w:val="24"/>
                <w:szCs w:val="24"/>
                <w14:textFill>
                  <w14:solidFill>
                    <w14:schemeClr w14:val="tx1"/>
                  </w14:solidFill>
                </w14:textFill>
              </w:rPr>
              <w:t>《水泥工业大气污染物排放标准》（DB41/1953-2020）表2颗粒物周界外浓度限值0.5mg/m</w:t>
            </w:r>
            <w:r>
              <w:rPr>
                <w:bCs/>
                <w:color w:val="000000" w:themeColor="text1"/>
                <w:spacing w:val="-10"/>
                <w:sz w:val="24"/>
                <w:szCs w:val="24"/>
                <w:vertAlign w:val="superscript"/>
                <w14:textFill>
                  <w14:solidFill>
                    <w14:schemeClr w14:val="tx1"/>
                  </w14:solidFill>
                </w14:textFill>
              </w:rPr>
              <w:t>3</w:t>
            </w:r>
            <w:r>
              <w:rPr>
                <w:bCs/>
                <w:color w:val="000000" w:themeColor="text1"/>
                <w:spacing w:val="-10"/>
                <w:sz w:val="24"/>
                <w:szCs w:val="24"/>
                <w14:textFill>
                  <w14:solidFill>
                    <w14:schemeClr w14:val="tx1"/>
                  </w14:solidFill>
                </w14:textFill>
              </w:rPr>
              <w:t>。</w:t>
            </w:r>
          </w:p>
        </w:tc>
        <w:tc>
          <w:tcPr>
            <w:tcW w:w="323" w:type="pct"/>
            <w:vMerge w:val="continue"/>
            <w:vAlign w:val="center"/>
          </w:tcPr>
          <w:p>
            <w:pPr>
              <w:pStyle w:val="3"/>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车辆冲洗废水</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SS</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沉淀池</w:t>
            </w:r>
          </w:p>
        </w:tc>
        <w:tc>
          <w:tcPr>
            <w:tcW w:w="134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经沉淀池（15m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）处理后循环使用，不外排</w:t>
            </w:r>
          </w:p>
        </w:tc>
        <w:tc>
          <w:tcPr>
            <w:tcW w:w="323" w:type="pct"/>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搅拌机清洗废水</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SS</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沉淀池</w:t>
            </w:r>
          </w:p>
        </w:tc>
        <w:tc>
          <w:tcPr>
            <w:tcW w:w="134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经沉淀池（5m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）处理后循环使用，不外排</w:t>
            </w:r>
          </w:p>
        </w:tc>
        <w:tc>
          <w:tcPr>
            <w:tcW w:w="323" w:type="pct"/>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锅炉排污水、软化处理废水</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废水池</w:t>
            </w:r>
          </w:p>
        </w:tc>
        <w:tc>
          <w:tcPr>
            <w:tcW w:w="1349"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该部分废水</w:t>
            </w:r>
            <w:r>
              <w:rPr>
                <w:rFonts w:hint="eastAsia"/>
                <w:color w:val="000000" w:themeColor="text1"/>
                <w:sz w:val="24"/>
                <w14:textFill>
                  <w14:solidFill>
                    <w14:schemeClr w14:val="tx1"/>
                  </w14:solidFill>
                </w14:textFill>
              </w:rPr>
              <w:t>进入搅拌添加水中，自然蒸发</w:t>
            </w:r>
            <w:r>
              <w:rPr>
                <w:color w:val="000000" w:themeColor="text1"/>
                <w:sz w:val="24"/>
                <w14:textFill>
                  <w14:solidFill>
                    <w14:schemeClr w14:val="tx1"/>
                  </w14:solidFill>
                </w14:textFill>
              </w:rPr>
              <w:t>。</w:t>
            </w:r>
          </w:p>
        </w:tc>
        <w:tc>
          <w:tcPr>
            <w:tcW w:w="323" w:type="pct"/>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vMerge w:val="continue"/>
            <w:vAlign w:val="center"/>
          </w:tcPr>
          <w:p>
            <w:pPr>
              <w:adjustRightInd w:val="0"/>
              <w:snapToGrid w:val="0"/>
              <w:jc w:val="center"/>
              <w:rPr>
                <w:color w:val="000000" w:themeColor="text1"/>
                <w:sz w:val="24"/>
                <w14:textFill>
                  <w14:solidFill>
                    <w14:schemeClr w14:val="tx1"/>
                  </w14:solidFill>
                </w14:textFill>
              </w:rPr>
            </w:pP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-N、TP</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化粪池</w:t>
            </w:r>
          </w:p>
        </w:tc>
        <w:tc>
          <w:tcPr>
            <w:tcW w:w="1349" w:type="pct"/>
            <w:vAlign w:val="center"/>
          </w:tcPr>
          <w:p>
            <w:pPr>
              <w:adjustRightInd w:val="0"/>
              <w:snapToGrid w:val="0"/>
              <w:jc w:val="center"/>
              <w:rPr>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经化粪池</w:t>
            </w:r>
            <w:r>
              <w:rPr>
                <w:color w:val="000000" w:themeColor="text1"/>
                <w:sz w:val="24"/>
                <w14:textFill>
                  <w14:solidFill>
                    <w14:schemeClr w14:val="tx1"/>
                  </w14:solidFill>
                </w14:textFill>
              </w:rPr>
              <w:t>（5m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处理后，定期清运，不外排</w:t>
            </w:r>
          </w:p>
        </w:tc>
        <w:tc>
          <w:tcPr>
            <w:tcW w:w="323" w:type="pct"/>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生产设备</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噪声</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基础减震</w:t>
            </w:r>
          </w:p>
        </w:tc>
        <w:tc>
          <w:tcPr>
            <w:tcW w:w="1349" w:type="pct"/>
            <w:vAlign w:val="center"/>
          </w:tcPr>
          <w:p>
            <w:pPr>
              <w:adjustRightInd w:val="0"/>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《工业企业厂界环境噪声排放标准》（GB12348-2008）2类标准</w:t>
            </w:r>
          </w:p>
        </w:tc>
        <w:tc>
          <w:tcPr>
            <w:tcW w:w="323"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81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555"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350"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349"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p>
        </w:tc>
        <w:tc>
          <w:tcPr>
            <w:tcW w:w="323"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4069" w:type="pct"/>
            <w:gridSpan w:val="4"/>
            <w:vAlign w:val="center"/>
          </w:tcPr>
          <w:p>
            <w:pPr>
              <w:adjustRightInd w:val="0"/>
              <w:snapToGrid w:val="0"/>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一般工业固废：新建一般工业固废暂存间（20m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），妥善分类收集后回用于生产；满足《一般工业固体废物贮存和填埋污染控制标准》(GB18599-2020)；</w:t>
            </w:r>
          </w:p>
          <w:p>
            <w:pPr>
              <w:adjustRightInd w:val="0"/>
              <w:snapToGrid w:val="0"/>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生活垃圾：由垃圾桶收集，由市政环卫部门统一清运处理。</w:t>
            </w:r>
          </w:p>
          <w:p>
            <w:pPr>
              <w:adjustRightInd w:val="0"/>
              <w:snapToGrid w:val="0"/>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危险废物：设置危险废物暂存间（10m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），妥善分类收集后定期委托有资质的单位进行处置满足《危险废物贮存污染控制标准》(GB 18597-2001)及2013年修改单要求。危废转移应严格按《危险废物转移联单管理办法》要求。</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4069" w:type="pct"/>
            <w:gridSpan w:val="4"/>
            <w:vAlign w:val="center"/>
          </w:tcPr>
          <w:p>
            <w:pPr>
              <w:adjustRightInd w:val="0"/>
              <w:snapToGrid w:val="0"/>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合理进行防渗区域划分，一般固废间、项目生产车间等按照重点污染区防渗要求进行建设，且具有防雨、防渗、防风、防日晒等功能。</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4069" w:type="pct"/>
            <w:gridSpan w:val="4"/>
            <w:vAlign w:val="center"/>
          </w:tcPr>
          <w:p>
            <w:pPr>
              <w:adjustRightInd w:val="0"/>
              <w:snapToGrid w:val="0"/>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加强厂区及周边绿化，厂区范围内不硬化就绿化。</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环境风险防范措施</w:t>
            </w:r>
          </w:p>
        </w:tc>
        <w:tc>
          <w:tcPr>
            <w:tcW w:w="4069" w:type="pct"/>
            <w:gridSpan w:val="4"/>
            <w:vAlign w:val="center"/>
          </w:tcPr>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1、加强消防设施和灭火器材的配备，严格落实有关消防技术规范的规定，加强人员疏散设施管理，保证疏散通道畅通。</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2、定期进行防火安全检查，确保消防设施完整好用。</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3、公司要求职工应遵守各项规章制度，杜绝“三违”(违章作业、违章指挥、违反劳动纪律)，作业时要遵守各项规定(如动火、高处作业、进入设备作业等规定)、要求，确保安全生产。</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4、公司强化安全、消防和环保管理，完善环保安全管理机构，完善各项管理制度，加强日常监督检查；厂区内严禁烟火，严格动火审批制度。</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3"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其他环境管理要求</w:t>
            </w:r>
          </w:p>
        </w:tc>
        <w:tc>
          <w:tcPr>
            <w:tcW w:w="4069" w:type="pct"/>
            <w:gridSpan w:val="4"/>
            <w:vAlign w:val="center"/>
          </w:tcPr>
          <w:p>
            <w:pPr>
              <w:adjustRightInd w:val="0"/>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1、竣工环境保护验收</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根据《建设项目竣工环境保护验收暂行办法》的规定，建设项目竣工后，建设单位应当如实查验、监测、记载建设项目环境设施的建设和调试情况，编制验收监测报告表。</w:t>
            </w:r>
          </w:p>
          <w:p>
            <w:pPr>
              <w:adjustRightInd w:val="0"/>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2、排污许可管理要求</w:t>
            </w:r>
          </w:p>
          <w:p>
            <w:pPr>
              <w:adjustRightInd w:val="0"/>
              <w:snapToGrid w:val="0"/>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根据《固定污染源排污许可分类管理名录（2019 年版）》（生态环境部 第11号）要求进行填报排污许可。因此，建设单位应当在启动生产设施或者发生实际排污之前在全国排污许可证管理信息平台进行排污许可登记填报。</w:t>
            </w:r>
            <w:r>
              <w:rPr>
                <w:color w:val="000000" w:themeColor="text1"/>
                <w:sz w:val="24"/>
                <w14:textFill>
                  <w14:solidFill>
                    <w14:schemeClr w14:val="tx1"/>
                  </w14:solidFill>
                </w14:textFill>
              </w:rPr>
              <w:cr/>
            </w:r>
            <w:r>
              <w:rPr>
                <w:b/>
                <w:bCs/>
                <w:color w:val="000000" w:themeColor="text1"/>
                <w:sz w:val="24"/>
                <w14:textFill>
                  <w14:solidFill>
                    <w14:schemeClr w14:val="tx1"/>
                  </w14:solidFill>
                </w14:textFill>
              </w:rPr>
              <w:t>3、在线监测</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按照环保部门要求安装门禁系统、扬尘在线监测系统、视频监控系统、用电量监控系统，并与环保部门联网</w:t>
            </w:r>
            <w:r>
              <w:rPr>
                <w:rFonts w:hint="eastAsia"/>
                <w:color w:val="000000" w:themeColor="text1"/>
                <w:sz w:val="24"/>
                <w14:textFill>
                  <w14:solidFill>
                    <w14:schemeClr w14:val="tx1"/>
                  </w14:solidFill>
                </w14:textFill>
              </w:rPr>
              <w:t>；燃气锅炉排气筒安装烟气排放自动监控设施（CEMS），并与环保部门联网</w:t>
            </w:r>
            <w:r>
              <w:rPr>
                <w:color w:val="000000" w:themeColor="text1"/>
                <w:sz w:val="24"/>
                <w14:textFill>
                  <w14:solidFill>
                    <w14:schemeClr w14:val="tx1"/>
                  </w14:solidFill>
                </w14:textFill>
              </w:rPr>
              <w:t>。</w:t>
            </w:r>
          </w:p>
          <w:p>
            <w:pPr>
              <w:adjustRightInd w:val="0"/>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4、绩效引领性指标要求</w:t>
            </w:r>
          </w:p>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确保能够达到《河南省重污染天气重点行业应急减排措施制定技术指南》中</w:t>
            </w:r>
            <w:r>
              <w:rPr>
                <w:rFonts w:hint="eastAsia"/>
                <w:color w:val="000000" w:themeColor="text1"/>
                <w:sz w:val="24"/>
                <w14:textFill>
                  <w14:solidFill>
                    <w14:schemeClr w14:val="tx1"/>
                  </w14:solidFill>
                </w14:textFill>
              </w:rPr>
              <w:t>十五、独立粉磨站、矿渣粉、水泥制品绩效引领性指标</w:t>
            </w:r>
            <w:r>
              <w:rPr>
                <w:color w:val="000000" w:themeColor="text1"/>
                <w:sz w:val="24"/>
                <w14:textFill>
                  <w14:solidFill>
                    <w14:schemeClr w14:val="tx1"/>
                  </w14:solidFill>
                </w14:textFill>
              </w:rPr>
              <w:t>要求。</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608"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合计</w:t>
            </w:r>
          </w:p>
        </w:tc>
        <w:tc>
          <w:tcPr>
            <w:tcW w:w="4069" w:type="pct"/>
            <w:gridSpan w:val="4"/>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323"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220</w:t>
            </w:r>
          </w:p>
        </w:tc>
      </w:tr>
    </w:tbl>
    <w:p>
      <w:pPr>
        <w:pStyle w:val="14"/>
        <w:ind w:firstLine="48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snapToGrid w:val="0"/>
          <w:color w:val="000000" w:themeColor="text1"/>
          <w:sz w:val="30"/>
          <w:szCs w:val="30"/>
          <w14:textFill>
            <w14:solidFill>
              <w14:schemeClr w14:val="tx1"/>
            </w14:solidFill>
          </w14:textFill>
        </w:rPr>
        <w:t>六、结论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shd w:val="clear" w:color="auto" w:fill="auto"/>
          </w:tcPr>
          <w:p>
            <w:pPr>
              <w:widowControl w:val="0"/>
              <w:spacing w:line="520" w:lineRule="exact"/>
              <w:ind w:firstLine="482" w:firstLineChars="200"/>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综上所述，河南省大公实业发展有限公司</w:t>
            </w:r>
            <w:r>
              <w:rPr>
                <w:b/>
                <w:bCs/>
                <w:color w:val="000000" w:themeColor="text1"/>
                <w:sz w:val="24"/>
                <w14:textFill>
                  <w14:solidFill>
                    <w14:schemeClr w14:val="tx1"/>
                  </w14:solidFill>
                </w14:textFill>
              </w:rPr>
              <w:t>年产16万立方米装配式预制构件、年产20万吨连续式泡沫沥青厂拌新型材料项目</w:t>
            </w:r>
            <w:r>
              <w:rPr>
                <w:b/>
                <w:color w:val="000000" w:themeColor="text1"/>
                <w:sz w:val="24"/>
                <w14:textFill>
                  <w14:solidFill>
                    <w14:schemeClr w14:val="tx1"/>
                  </w14:solidFill>
                </w14:textFill>
              </w:rPr>
              <w:t>，符合国家产业政策，符合太山镇用地规划的要求，选址可行。企业在认真执行环境“三同时”制度及严格落实各项污染防治措施的情况下，污染物可以满足“清洁生产、总量控制、达标排放”的要求，项目环境风险可控，项目对环境的影响较小。在确保各项污染防治措施安全有效运行的前提下，从环境保护角度分析，该建设项目可行。</w:t>
            </w:r>
          </w:p>
          <w:p>
            <w:pPr>
              <w:spacing w:line="520" w:lineRule="exact"/>
              <w:ind w:firstLine="422"/>
              <w:jc w:val="right"/>
              <w:rPr>
                <w:b/>
                <w:color w:val="000000" w:themeColor="text1"/>
                <w:szCs w:val="21"/>
                <w14:textFill>
                  <w14:solidFill>
                    <w14:schemeClr w14:val="tx1"/>
                  </w14:solidFill>
                </w14:textFill>
              </w:rPr>
            </w:pPr>
            <w:bookmarkStart w:id="3" w:name="_Hlk66461716"/>
          </w:p>
          <w:p>
            <w:pPr>
              <w:spacing w:line="520" w:lineRule="exact"/>
              <w:ind w:firstLine="422"/>
              <w:jc w:val="right"/>
              <w:rPr>
                <w:b/>
                <w:color w:val="000000" w:themeColor="text1"/>
                <w:szCs w:val="21"/>
                <w14:textFill>
                  <w14:solidFill>
                    <w14:schemeClr w14:val="tx1"/>
                  </w14:solidFill>
                </w14:textFill>
              </w:rPr>
            </w:pPr>
          </w:p>
          <w:bookmarkEnd w:id="3"/>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2"/>
              <w:jc w:val="right"/>
              <w:rPr>
                <w:b/>
                <w:color w:val="000000" w:themeColor="text1"/>
                <w:szCs w:val="21"/>
                <w14:textFill>
                  <w14:solidFill>
                    <w14:schemeClr w14:val="tx1"/>
                  </w14:solidFill>
                </w14:textFill>
              </w:rPr>
            </w:pPr>
          </w:p>
          <w:p>
            <w:pPr>
              <w:spacing w:line="520" w:lineRule="exact"/>
              <w:ind w:firstLine="420"/>
              <w:jc w:val="right"/>
              <w:rPr>
                <w:bCs/>
                <w:color w:val="000000" w:themeColor="text1"/>
                <w:szCs w:val="21"/>
                <w14:textFill>
                  <w14:solidFill>
                    <w14:schemeClr w14:val="tx1"/>
                  </w14:solidFill>
                </w14:textFill>
              </w:rPr>
            </w:pPr>
          </w:p>
        </w:tc>
      </w:tr>
    </w:tbl>
    <w:p>
      <w:pPr>
        <w:ind w:firstLine="420"/>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ind w:firstLine="760"/>
        <w:jc w:val="center"/>
        <w:outlineLvl w:val="0"/>
        <w:rPr>
          <w:rFonts w:ascii="Times New Roman" w:hAnsi="Times New Roman"/>
          <w:snapToGrid w:val="0"/>
          <w:color w:val="000000" w:themeColor="text1"/>
          <w:sz w:val="38"/>
          <w:szCs w:val="38"/>
          <w14:textFill>
            <w14:solidFill>
              <w14:schemeClr w14:val="tx1"/>
            </w14:solidFill>
          </w14:textFill>
        </w:rPr>
      </w:pPr>
      <w:r>
        <w:rPr>
          <w:rFonts w:ascii="Times New Roman" w:hAnsi="Times New Roman"/>
          <w:snapToGrid w:val="0"/>
          <w:color w:val="000000" w:themeColor="text1"/>
          <w:sz w:val="38"/>
          <w:szCs w:val="38"/>
          <w14:textFill>
            <w14:solidFill>
              <w14:schemeClr w14:val="tx1"/>
            </w14:solidFill>
          </w14:textFill>
        </w:rPr>
        <w:t>建设项目污染物排放量汇总表</w:t>
      </w:r>
    </w:p>
    <w:tbl>
      <w:tblPr>
        <w:tblStyle w:val="1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983"/>
        <w:gridCol w:w="1460"/>
        <w:gridCol w:w="1249"/>
        <w:gridCol w:w="1665"/>
        <w:gridCol w:w="1525"/>
        <w:gridCol w:w="1387"/>
        <w:gridCol w:w="1665"/>
        <w:gridCol w:w="1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tcBorders>
              <w:tl2br w:val="single" w:color="auto" w:sz="4" w:space="0"/>
            </w:tcBorders>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项目</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分类</w:t>
            </w:r>
          </w:p>
        </w:tc>
        <w:tc>
          <w:tcPr>
            <w:tcW w:w="735"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污染物名称</w:t>
            </w:r>
          </w:p>
        </w:tc>
        <w:tc>
          <w:tcPr>
            <w:tcW w:w="541"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现有工程</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排放量（固体废物产生量）</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1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snapToGrid w:val="0"/>
                <w:color w:val="000000" w:themeColor="text1"/>
                <w:kern w:val="21"/>
                <w:szCs w:val="21"/>
                <w14:textFill>
                  <w14:solidFill>
                    <w14:schemeClr w14:val="tx1"/>
                  </w14:solidFill>
                </w14:textFill>
              </w:rPr>
              <w:fldChar w:fldCharType="end"/>
            </w:r>
          </w:p>
        </w:tc>
        <w:tc>
          <w:tcPr>
            <w:tcW w:w="463"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现有工程</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许可排放量</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2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snapToGrid w:val="0"/>
                <w:color w:val="000000" w:themeColor="text1"/>
                <w:kern w:val="21"/>
                <w:szCs w:val="21"/>
                <w14:textFill>
                  <w14:solidFill>
                    <w14:schemeClr w14:val="tx1"/>
                  </w14:solidFill>
                </w14:textFill>
              </w:rPr>
              <w:t>②</w:t>
            </w:r>
            <w:r>
              <w:rPr>
                <w:rFonts w:ascii="Times New Roman"/>
                <w:snapToGrid w:val="0"/>
                <w:color w:val="000000" w:themeColor="text1"/>
                <w:kern w:val="21"/>
                <w:szCs w:val="21"/>
                <w14:textFill>
                  <w14:solidFill>
                    <w14:schemeClr w14:val="tx1"/>
                  </w14:solidFill>
                </w14:textFill>
              </w:rPr>
              <w:fldChar w:fldCharType="end"/>
            </w:r>
          </w:p>
        </w:tc>
        <w:tc>
          <w:tcPr>
            <w:tcW w:w="617"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在建工程</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排放量（固体废物产生量）</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3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snapToGrid w:val="0"/>
                <w:color w:val="000000" w:themeColor="text1"/>
                <w:kern w:val="21"/>
                <w:szCs w:val="21"/>
                <w14:textFill>
                  <w14:solidFill>
                    <w14:schemeClr w14:val="tx1"/>
                  </w14:solidFill>
                </w14:textFill>
              </w:rPr>
              <w:fldChar w:fldCharType="end"/>
            </w:r>
          </w:p>
        </w:tc>
        <w:tc>
          <w:tcPr>
            <w:tcW w:w="565"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本项目</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排放量（固体废物产生量）</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4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snapToGrid w:val="0"/>
                <w:color w:val="000000" w:themeColor="text1"/>
                <w:kern w:val="21"/>
                <w:szCs w:val="21"/>
                <w14:textFill>
                  <w14:solidFill>
                    <w14:schemeClr w14:val="tx1"/>
                  </w14:solidFill>
                </w14:textFill>
              </w:rPr>
              <w:fldChar w:fldCharType="end"/>
            </w:r>
          </w:p>
        </w:tc>
        <w:tc>
          <w:tcPr>
            <w:tcW w:w="514"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以新带老削减量（新建项目不填）</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5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snapToGrid w:val="0"/>
                <w:color w:val="000000" w:themeColor="text1"/>
                <w:kern w:val="21"/>
                <w:szCs w:val="21"/>
                <w14:textFill>
                  <w14:solidFill>
                    <w14:schemeClr w14:val="tx1"/>
                  </w14:solidFill>
                </w14:textFill>
              </w:rPr>
              <w:fldChar w:fldCharType="end"/>
            </w:r>
          </w:p>
        </w:tc>
        <w:tc>
          <w:tcPr>
            <w:tcW w:w="617"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本项目建成后</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全厂排放量（固体废物产生量）</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6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snapToGrid w:val="0"/>
                <w:color w:val="000000" w:themeColor="text1"/>
                <w:kern w:val="21"/>
                <w:szCs w:val="21"/>
                <w14:textFill>
                  <w14:solidFill>
                    <w14:schemeClr w14:val="tx1"/>
                  </w14:solidFill>
                </w14:textFill>
              </w:rPr>
              <w:fldChar w:fldCharType="end"/>
            </w:r>
          </w:p>
        </w:tc>
        <w:tc>
          <w:tcPr>
            <w:tcW w:w="517" w:type="pct"/>
            <w:tcMar>
              <w:left w:w="28" w:type="dxa"/>
              <w:right w:w="28" w:type="dxa"/>
            </w:tcMar>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变化量</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7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snapToGrid w:val="0"/>
                <w:color w:val="000000" w:themeColor="text1"/>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restart"/>
            <w:vAlign w:val="center"/>
          </w:tcPr>
          <w:p>
            <w:pPr>
              <w:pStyle w:val="33"/>
              <w:spacing w:before="24" w:after="24"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1.2048t/a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1.2048 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+1.2048t/a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rPr>
        <w:tc>
          <w:tcPr>
            <w:tcW w:w="431" w:type="pct"/>
            <w:vMerge w:val="continue"/>
            <w:vAlign w:val="center"/>
          </w:tcPr>
          <w:p>
            <w:pPr>
              <w:pStyle w:val="33"/>
              <w:spacing w:before="24" w:after="24"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二氧化硫</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0.0336t/a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0.0336t/a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24" w:after="24"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氮氧化物</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0.2545 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0.2545 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+0.2545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restar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COD</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NH</w:t>
            </w:r>
            <w:r>
              <w:rPr>
                <w:rFonts w:ascii="Times New Roman"/>
                <w:color w:val="000000" w:themeColor="text1"/>
                <w:szCs w:val="21"/>
                <w:vertAlign w:val="subscript"/>
                <w14:textFill>
                  <w14:solidFill>
                    <w14:schemeClr w14:val="tx1"/>
                  </w14:solidFill>
                </w14:textFill>
              </w:rPr>
              <w:t>3</w:t>
            </w:r>
            <w:r>
              <w:rPr>
                <w:rFonts w:ascii="Times New Roman"/>
                <w:color w:val="000000" w:themeColor="text1"/>
                <w:szCs w:val="21"/>
                <w14:textFill>
                  <w14:solidFill>
                    <w14:schemeClr w14:val="tx1"/>
                  </w14:solidFill>
                </w14:textFill>
              </w:rPr>
              <w:t>-N</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TP</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restar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沉淀池沉渣</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12.0672</w:t>
            </w:r>
            <w:r>
              <w:rPr>
                <w:rFonts w:ascii="Times New Roman"/>
                <w:color w:val="000000" w:themeColor="text1"/>
                <w:position w:val="1"/>
                <w:szCs w:val="21"/>
                <w14:textFill>
                  <w14:solidFill>
                    <w14:schemeClr w14:val="tx1"/>
                  </w14:solidFill>
                </w14:textFill>
              </w:rPr>
              <w:t xml:space="preserve"> 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12.0672</w:t>
            </w:r>
            <w:r>
              <w:rPr>
                <w:rFonts w:ascii="Times New Roman"/>
                <w:color w:val="000000" w:themeColor="text1"/>
                <w:position w:val="1"/>
                <w:szCs w:val="21"/>
                <w14:textFill>
                  <w14:solidFill>
                    <w14:schemeClr w14:val="tx1"/>
                  </w14:solidFill>
                </w14:textFill>
              </w:rPr>
              <w:t xml:space="preserve"> 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钢筋</w:t>
            </w:r>
            <w:r>
              <w:rPr>
                <w:rFonts w:ascii="Times New Roman"/>
                <w:snapToGrid w:val="0"/>
                <w:color w:val="000000" w:themeColor="text1"/>
                <w:kern w:val="21"/>
                <w:szCs w:val="21"/>
                <w14:textFill>
                  <w14:solidFill>
                    <w14:schemeClr w14:val="tx1"/>
                  </w14:solidFill>
                </w14:textFill>
              </w:rPr>
              <w:t>下脚料</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230</w:t>
            </w:r>
            <w:r>
              <w:rPr>
                <w:rFonts w:ascii="Times New Roman"/>
                <w:color w:val="000000" w:themeColor="text1"/>
                <w:position w:val="1"/>
                <w:szCs w:val="21"/>
                <w14:textFill>
                  <w14:solidFill>
                    <w14:schemeClr w14:val="tx1"/>
                  </w14:solidFill>
                </w14:textFill>
              </w:rPr>
              <w:t xml:space="preserve"> 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230</w:t>
            </w:r>
            <w:r>
              <w:rPr>
                <w:rFonts w:ascii="Times New Roman"/>
                <w:color w:val="000000" w:themeColor="text1"/>
                <w:position w:val="1"/>
                <w:szCs w:val="21"/>
                <w14:textFill>
                  <w14:solidFill>
                    <w14:schemeClr w14:val="tx1"/>
                  </w14:solidFill>
                </w14:textFill>
              </w:rPr>
              <w:t xml:space="preserve"> 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生活垃圾</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bCs/>
                <w:color w:val="000000" w:themeColor="text1"/>
                <w:spacing w:val="-10"/>
                <w:szCs w:val="21"/>
                <w14:textFill>
                  <w14:solidFill>
                    <w14:schemeClr w14:val="tx1"/>
                  </w14:solidFill>
                </w14:textFill>
              </w:rPr>
              <w:t>6</w:t>
            </w:r>
            <w:r>
              <w:rPr>
                <w:rFonts w:ascii="Times New Roman"/>
                <w:color w:val="000000" w:themeColor="text1"/>
                <w:position w:val="1"/>
                <w:szCs w:val="21"/>
                <w14:textFill>
                  <w14:solidFill>
                    <w14:schemeClr w14:val="tx1"/>
                  </w14:solidFill>
                </w14:textFill>
              </w:rPr>
              <w:t xml:space="preserve"> 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bCs/>
                <w:color w:val="000000" w:themeColor="text1"/>
                <w:spacing w:val="-10"/>
                <w:szCs w:val="21"/>
                <w14:textFill>
                  <w14:solidFill>
                    <w14:schemeClr w14:val="tx1"/>
                  </w14:solidFill>
                </w14:textFill>
              </w:rPr>
              <w:t>6</w:t>
            </w:r>
            <w:r>
              <w:rPr>
                <w:rFonts w:ascii="Times New Roman"/>
                <w:color w:val="000000" w:themeColor="text1"/>
                <w:position w:val="1"/>
                <w:szCs w:val="21"/>
                <w14:textFill>
                  <w14:solidFill>
                    <w14:schemeClr w14:val="tx1"/>
                  </w14:solidFill>
                </w14:textFill>
              </w:rPr>
              <w:t xml:space="preserve"> 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restar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废树脂</w:t>
            </w: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0.1t/a</w:t>
            </w: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0.1t/a</w:t>
            </w: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1" w:type="pct"/>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3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41"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463"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65"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14"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517" w:type="pc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r>
    </w:tbl>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sectPr>
          <w:footerReference r:id="rId4" w:type="default"/>
          <w:pgSz w:w="16838" w:h="11906" w:orient="landscape"/>
          <w:pgMar w:top="1531" w:right="1701" w:bottom="1531" w:left="1701" w:header="851" w:footer="851" w:gutter="0"/>
          <w:cols w:space="720" w:num="1"/>
          <w:docGrid w:linePitch="312" w:charSpace="0"/>
        </w:sect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6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1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3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4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5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7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6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1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kern w:val="21"/>
          <w:szCs w:val="21"/>
          <w14:textFill>
            <w14:solidFill>
              <w14:schemeClr w14:val="tx1"/>
            </w14:solidFill>
          </w14:textFill>
        </w:rPr>
        <w:fldChar w:fldCharType="end"/>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sectPr>
          <w:pgSz w:w="11906" w:h="16838"/>
          <w:pgMar w:top="1701" w:right="1531" w:bottom="1701" w:left="1531" w:header="851" w:footer="851" w:gutter="0"/>
          <w:cols w:space="720" w:num="1"/>
          <w:docGrid w:linePitch="312" w:charSpace="0"/>
        </w:sectPr>
      </w:pPr>
      <w:r>
        <w:drawing>
          <wp:inline distT="0" distB="0" distL="0" distR="0">
            <wp:extent cx="5201285" cy="7892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07957" cy="7902092"/>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r>
        <w:drawing>
          <wp:inline distT="0" distB="0" distL="0" distR="0">
            <wp:extent cx="5553075" cy="7886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553075" cy="7886700"/>
                    </a:xfrm>
                    <a:prstGeom prst="rect">
                      <a:avLst/>
                    </a:prstGeom>
                  </pic:spPr>
                </pic:pic>
              </a:graphicData>
            </a:graphic>
          </wp:inline>
        </w:drawing>
      </w:r>
    </w:p>
    <w:p>
      <w:pPr>
        <w:rPr>
          <w:snapToGrid w:val="0"/>
          <w:color w:val="000000" w:themeColor="text1"/>
          <w:kern w:val="21"/>
          <w:szCs w:val="21"/>
          <w14:textFill>
            <w14:solidFill>
              <w14:schemeClr w14:val="tx1"/>
            </w14:solidFill>
          </w14:textFill>
        </w:rPr>
      </w:pPr>
      <w:r>
        <w:drawing>
          <wp:inline distT="0" distB="0" distL="0" distR="0">
            <wp:extent cx="7753350" cy="5143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7753350" cy="5143500"/>
                    </a:xfrm>
                    <a:prstGeom prst="rect">
                      <a:avLst/>
                    </a:prstGeom>
                  </pic:spPr>
                </pic:pic>
              </a:graphicData>
            </a:graphic>
          </wp:inline>
        </w:drawing>
      </w:r>
    </w:p>
    <w:p>
      <w:pP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br w:type="page"/>
      </w:r>
    </w:p>
    <w:p>
      <w:pPr>
        <w:rPr>
          <w:snapToGrid w:val="0"/>
          <w:color w:val="000000" w:themeColor="text1"/>
          <w:kern w:val="21"/>
          <w:szCs w:val="21"/>
          <w14:textFill>
            <w14:solidFill>
              <w14:schemeClr w14:val="tx1"/>
            </w14:solidFill>
          </w14:textFill>
        </w:rPr>
        <w:sectPr>
          <w:pgSz w:w="16838" w:h="11906" w:orient="landscape"/>
          <w:pgMar w:top="1531" w:right="1701" w:bottom="1531" w:left="1701" w:header="851" w:footer="851" w:gutter="0"/>
          <w:cols w:space="720" w:num="1"/>
          <w:docGrid w:linePitch="312" w:charSpace="0"/>
        </w:sectPr>
      </w:pPr>
      <w:r>
        <w:drawing>
          <wp:inline distT="0" distB="0" distL="0" distR="0">
            <wp:extent cx="8025765" cy="56159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8025765" cy="5615940"/>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r>
        <w:drawing>
          <wp:inline distT="0" distB="0" distL="0" distR="0">
            <wp:extent cx="7410450" cy="5543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7410450" cy="5543550"/>
                    </a:xfrm>
                    <a:prstGeom prst="rect">
                      <a:avLst/>
                    </a:prstGeom>
                  </pic:spPr>
                </pic:pic>
              </a:graphicData>
            </a:graphic>
          </wp:inline>
        </w:drawing>
      </w:r>
    </w:p>
    <w:p>
      <w:pPr>
        <w:rPr>
          <w:snapToGrid w:val="0"/>
          <w:color w:val="000000" w:themeColor="text1"/>
          <w:kern w:val="21"/>
          <w:szCs w:val="21"/>
          <w14:textFill>
            <w14:solidFill>
              <w14:schemeClr w14:val="tx1"/>
            </w14:solidFill>
          </w14:textFill>
        </w:rPr>
      </w:pP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615940" cy="762571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5615940" cy="7625715"/>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sectPr>
          <w:pgSz w:w="11906" w:h="16838"/>
          <w:pgMar w:top="1701" w:right="1531" w:bottom="1701" w:left="1531" w:header="851" w:footer="851" w:gutter="0"/>
          <w:cols w:space="720" w:num="1"/>
          <w:docGrid w:linePitch="312" w:charSpace="0"/>
        </w:sectPr>
      </w:pPr>
      <w:r>
        <w:drawing>
          <wp:inline distT="0" distB="0" distL="0" distR="0">
            <wp:extent cx="5615940" cy="7388860"/>
            <wp:effectExtent l="0" t="0" r="381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615940" cy="7388860"/>
                    </a:xfrm>
                    <a:prstGeom prst="rect">
                      <a:avLst/>
                    </a:prstGeom>
                  </pic:spPr>
                </pic:pic>
              </a:graphicData>
            </a:graphic>
          </wp:inline>
        </w:drawing>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sectPr>
          <w:pgSz w:w="16838" w:h="11906" w:orient="landscape"/>
          <w:pgMar w:top="1531" w:right="1701" w:bottom="1531" w:left="1701" w:header="851" w:footer="851" w:gutter="0"/>
          <w:cols w:space="720" w:num="1"/>
          <w:docGrid w:linePitch="312" w:charSpace="0"/>
        </w:sectPr>
      </w:pPr>
      <w:bookmarkStart w:id="4" w:name="_GoBack"/>
      <w:r>
        <w:drawing>
          <wp:inline distT="0" distB="0" distL="0" distR="0">
            <wp:extent cx="8115935" cy="5615940"/>
            <wp:effectExtent l="0" t="0" r="1841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8115935" cy="5615940"/>
                    </a:xfrm>
                    <a:prstGeom prst="rect">
                      <a:avLst/>
                    </a:prstGeom>
                  </pic:spPr>
                </pic:pic>
              </a:graphicData>
            </a:graphic>
          </wp:inline>
        </w:drawing>
      </w:r>
      <w:bookmarkEnd w:id="4"/>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615940" cy="7841615"/>
            <wp:effectExtent l="0" t="0" r="381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615940" cy="7841615"/>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615940" cy="7821295"/>
            <wp:effectExtent l="0" t="0" r="381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615940" cy="7821295"/>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572125" cy="78200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572125" cy="7820025"/>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581650" cy="7924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581650" cy="7924800"/>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r>
        <w:drawing>
          <wp:inline distT="0" distB="0" distL="0" distR="0">
            <wp:extent cx="5562600" cy="79724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stretch>
                      <a:fillRect/>
                    </a:stretch>
                  </pic:blipFill>
                  <pic:spPr>
                    <a:xfrm>
                      <a:off x="0" y="0"/>
                      <a:ext cx="5562600" cy="7972425"/>
                    </a:xfrm>
                    <a:prstGeom prst="rect">
                      <a:avLst/>
                    </a:prstGeom>
                  </pic:spPr>
                </pic:pic>
              </a:graphicData>
            </a:graphic>
          </wp:inline>
        </w:drawing>
      </w:r>
    </w:p>
    <w:p>
      <w:pP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p>
    <w:p>
      <w:pPr>
        <w:rPr>
          <w:snapToGrid w:val="0"/>
          <w:color w:val="000000" w:themeColor="text1"/>
          <w:kern w:val="21"/>
          <w:szCs w:val="21"/>
          <w14:textFill>
            <w14:solidFill>
              <w14:schemeClr w14:val="tx1"/>
            </w14:solidFill>
          </w14:textFill>
        </w:rPr>
      </w:pPr>
      <w:r>
        <w:drawing>
          <wp:inline distT="0" distB="0" distL="0" distR="0">
            <wp:extent cx="5524500" cy="7791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5524500" cy="7791450"/>
                    </a:xfrm>
                    <a:prstGeom prst="rect">
                      <a:avLst/>
                    </a:prstGeom>
                  </pic:spPr>
                </pic:pic>
              </a:graphicData>
            </a:graphic>
          </wp:inline>
        </w:drawing>
      </w:r>
      <w:r>
        <w:rPr>
          <w:snapToGrid w:val="0"/>
          <w:color w:val="000000" w:themeColor="text1"/>
          <w:kern w:val="21"/>
          <w:szCs w:val="21"/>
          <w14:textFill>
            <w14:solidFill>
              <w14:schemeClr w14:val="tx1"/>
            </w14:solidFill>
          </w14:textFill>
        </w:rPr>
        <w:br w:type="page"/>
      </w:r>
    </w:p>
    <w:p>
      <w:pPr>
        <w:pStyle w:val="33"/>
        <w:spacing w:before="192" w:beforeLines="80" w:after="24"/>
        <w:ind w:firstLine="420"/>
        <w:jc w:val="left"/>
        <w:rPr>
          <w:rFonts w:ascii="Times New Roman"/>
          <w:snapToGrid w:val="0"/>
          <w:color w:val="000000" w:themeColor="text1"/>
          <w:kern w:val="21"/>
          <w:szCs w:val="21"/>
          <w14:textFill>
            <w14:solidFill>
              <w14:schemeClr w14:val="tx1"/>
            </w14:solidFill>
          </w14:textFill>
        </w:rPr>
      </w:pPr>
      <w:r>
        <w:drawing>
          <wp:inline distT="0" distB="0" distL="0" distR="0">
            <wp:extent cx="5615940" cy="8014970"/>
            <wp:effectExtent l="0" t="0" r="381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a:stretch>
                      <a:fillRect/>
                    </a:stretch>
                  </pic:blipFill>
                  <pic:spPr>
                    <a:xfrm>
                      <a:off x="0" y="0"/>
                      <a:ext cx="5615940" cy="8014970"/>
                    </a:xfrm>
                    <a:prstGeom prst="rect">
                      <a:avLst/>
                    </a:prstGeom>
                  </pic:spPr>
                </pic:pic>
              </a:graphicData>
            </a:graphic>
          </wp:inline>
        </w:drawing>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560"/>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58</w:t>
    </w:r>
    <w:r>
      <w:rPr>
        <w:rStyle w:val="22"/>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560"/>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59</w:t>
    </w:r>
    <w:r>
      <w:rPr>
        <w:rStyle w:val="22"/>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50916"/>
    <w:multiLevelType w:val="multilevel"/>
    <w:tmpl w:val="25350916"/>
    <w:lvl w:ilvl="0" w:tentative="0">
      <w:start w:val="4"/>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3FA4284"/>
    <w:multiLevelType w:val="multilevel"/>
    <w:tmpl w:val="33FA4284"/>
    <w:lvl w:ilvl="0" w:tentative="0">
      <w:start w:val="18"/>
      <w:numFmt w:val="decimal"/>
      <w:lvlText w:val="表%1"/>
      <w:lvlJc w:val="center"/>
      <w:pPr>
        <w:ind w:left="132"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1271F2"/>
    <w:multiLevelType w:val="multilevel"/>
    <w:tmpl w:val="6A1271F2"/>
    <w:lvl w:ilvl="0" w:tentative="0">
      <w:start w:val="20"/>
      <w:numFmt w:val="decimal"/>
      <w:lvlText w:val="表%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8069C9"/>
    <w:multiLevelType w:val="multilevel"/>
    <w:tmpl w:val="6B8069C9"/>
    <w:lvl w:ilvl="0" w:tentative="0">
      <w:start w:val="11"/>
      <w:numFmt w:val="decimal"/>
      <w:lvlText w:val="表%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A4465A4"/>
    <w:multiLevelType w:val="multilevel"/>
    <w:tmpl w:val="7A4465A4"/>
    <w:lvl w:ilvl="0" w:tentative="0">
      <w:start w:val="7"/>
      <w:numFmt w:val="decimal"/>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jc1YjYzYWEzYjY5OGE1YTkzY2Q4MjIzZTQ4ZDIifQ=="/>
  </w:docVars>
  <w:rsids>
    <w:rsidRoot w:val="00A14947"/>
    <w:rsid w:val="0000031B"/>
    <w:rsid w:val="00002658"/>
    <w:rsid w:val="000060B3"/>
    <w:rsid w:val="00006D45"/>
    <w:rsid w:val="000072FE"/>
    <w:rsid w:val="0000747F"/>
    <w:rsid w:val="0001103C"/>
    <w:rsid w:val="000119B0"/>
    <w:rsid w:val="00011BCA"/>
    <w:rsid w:val="00014442"/>
    <w:rsid w:val="00016364"/>
    <w:rsid w:val="000202D2"/>
    <w:rsid w:val="0002083B"/>
    <w:rsid w:val="000215A2"/>
    <w:rsid w:val="00021D76"/>
    <w:rsid w:val="00022F20"/>
    <w:rsid w:val="000238FD"/>
    <w:rsid w:val="000248E4"/>
    <w:rsid w:val="0002605E"/>
    <w:rsid w:val="000272CC"/>
    <w:rsid w:val="0003170F"/>
    <w:rsid w:val="0003176E"/>
    <w:rsid w:val="000343AC"/>
    <w:rsid w:val="000349B0"/>
    <w:rsid w:val="00035B76"/>
    <w:rsid w:val="00036C22"/>
    <w:rsid w:val="00040B26"/>
    <w:rsid w:val="00040CAF"/>
    <w:rsid w:val="0004100C"/>
    <w:rsid w:val="0004145A"/>
    <w:rsid w:val="0004364B"/>
    <w:rsid w:val="00043888"/>
    <w:rsid w:val="0004411E"/>
    <w:rsid w:val="0004438D"/>
    <w:rsid w:val="00046DE4"/>
    <w:rsid w:val="000479D1"/>
    <w:rsid w:val="00047BC9"/>
    <w:rsid w:val="00047CAF"/>
    <w:rsid w:val="000500C5"/>
    <w:rsid w:val="000521D2"/>
    <w:rsid w:val="000534C3"/>
    <w:rsid w:val="000547BB"/>
    <w:rsid w:val="00054A5B"/>
    <w:rsid w:val="0006019D"/>
    <w:rsid w:val="00060937"/>
    <w:rsid w:val="000611F6"/>
    <w:rsid w:val="0006150D"/>
    <w:rsid w:val="00061B1F"/>
    <w:rsid w:val="00062981"/>
    <w:rsid w:val="0006548C"/>
    <w:rsid w:val="00065C21"/>
    <w:rsid w:val="00065C8F"/>
    <w:rsid w:val="00065FB0"/>
    <w:rsid w:val="00067830"/>
    <w:rsid w:val="00067992"/>
    <w:rsid w:val="00067E7E"/>
    <w:rsid w:val="00067FB6"/>
    <w:rsid w:val="000701C6"/>
    <w:rsid w:val="0007037C"/>
    <w:rsid w:val="0007177B"/>
    <w:rsid w:val="00071C47"/>
    <w:rsid w:val="000725D5"/>
    <w:rsid w:val="00073218"/>
    <w:rsid w:val="000733C4"/>
    <w:rsid w:val="0007367B"/>
    <w:rsid w:val="00073A40"/>
    <w:rsid w:val="00074783"/>
    <w:rsid w:val="00074873"/>
    <w:rsid w:val="00075307"/>
    <w:rsid w:val="000764C3"/>
    <w:rsid w:val="0007679B"/>
    <w:rsid w:val="00076ED0"/>
    <w:rsid w:val="00077DD2"/>
    <w:rsid w:val="0008070B"/>
    <w:rsid w:val="000810AC"/>
    <w:rsid w:val="00081A02"/>
    <w:rsid w:val="00081C33"/>
    <w:rsid w:val="000820F1"/>
    <w:rsid w:val="00082231"/>
    <w:rsid w:val="00082F04"/>
    <w:rsid w:val="00083D40"/>
    <w:rsid w:val="00084E71"/>
    <w:rsid w:val="0008688A"/>
    <w:rsid w:val="000878B8"/>
    <w:rsid w:val="0009189E"/>
    <w:rsid w:val="0009249D"/>
    <w:rsid w:val="00092D38"/>
    <w:rsid w:val="0009377B"/>
    <w:rsid w:val="00094AAB"/>
    <w:rsid w:val="00095CB6"/>
    <w:rsid w:val="000962F5"/>
    <w:rsid w:val="00096B5E"/>
    <w:rsid w:val="00097929"/>
    <w:rsid w:val="00097C4D"/>
    <w:rsid w:val="000A122D"/>
    <w:rsid w:val="000A1980"/>
    <w:rsid w:val="000A1B41"/>
    <w:rsid w:val="000A1E27"/>
    <w:rsid w:val="000A20C9"/>
    <w:rsid w:val="000A2232"/>
    <w:rsid w:val="000A3528"/>
    <w:rsid w:val="000A4642"/>
    <w:rsid w:val="000A494F"/>
    <w:rsid w:val="000A5E01"/>
    <w:rsid w:val="000A6954"/>
    <w:rsid w:val="000A7092"/>
    <w:rsid w:val="000A7385"/>
    <w:rsid w:val="000A7429"/>
    <w:rsid w:val="000A7635"/>
    <w:rsid w:val="000B058F"/>
    <w:rsid w:val="000B11AB"/>
    <w:rsid w:val="000B16B7"/>
    <w:rsid w:val="000B19DD"/>
    <w:rsid w:val="000B1D56"/>
    <w:rsid w:val="000B2027"/>
    <w:rsid w:val="000B23CA"/>
    <w:rsid w:val="000B25BF"/>
    <w:rsid w:val="000B4078"/>
    <w:rsid w:val="000B416A"/>
    <w:rsid w:val="000B4467"/>
    <w:rsid w:val="000B4BE3"/>
    <w:rsid w:val="000B4DB9"/>
    <w:rsid w:val="000C09AC"/>
    <w:rsid w:val="000C15F1"/>
    <w:rsid w:val="000C32DB"/>
    <w:rsid w:val="000C3ADE"/>
    <w:rsid w:val="000C53DD"/>
    <w:rsid w:val="000C5A40"/>
    <w:rsid w:val="000C767F"/>
    <w:rsid w:val="000C7741"/>
    <w:rsid w:val="000D04F2"/>
    <w:rsid w:val="000D0FD7"/>
    <w:rsid w:val="000D15C3"/>
    <w:rsid w:val="000D2FDD"/>
    <w:rsid w:val="000D30B1"/>
    <w:rsid w:val="000D44B3"/>
    <w:rsid w:val="000D44FF"/>
    <w:rsid w:val="000D5676"/>
    <w:rsid w:val="000D5A44"/>
    <w:rsid w:val="000D5BB5"/>
    <w:rsid w:val="000D6E9B"/>
    <w:rsid w:val="000E0409"/>
    <w:rsid w:val="000E098C"/>
    <w:rsid w:val="000E2646"/>
    <w:rsid w:val="000E2C2B"/>
    <w:rsid w:val="000E2CE5"/>
    <w:rsid w:val="000E37D4"/>
    <w:rsid w:val="000E3ED2"/>
    <w:rsid w:val="000E5264"/>
    <w:rsid w:val="000E5F73"/>
    <w:rsid w:val="000F017F"/>
    <w:rsid w:val="000F0221"/>
    <w:rsid w:val="000F0BEF"/>
    <w:rsid w:val="000F0EEF"/>
    <w:rsid w:val="000F6D65"/>
    <w:rsid w:val="0010073B"/>
    <w:rsid w:val="001014BE"/>
    <w:rsid w:val="0010460B"/>
    <w:rsid w:val="00106369"/>
    <w:rsid w:val="00110D7B"/>
    <w:rsid w:val="00112BEC"/>
    <w:rsid w:val="00113DE0"/>
    <w:rsid w:val="00114C68"/>
    <w:rsid w:val="001161DF"/>
    <w:rsid w:val="00116650"/>
    <w:rsid w:val="0011674C"/>
    <w:rsid w:val="00117339"/>
    <w:rsid w:val="00117BEB"/>
    <w:rsid w:val="00117CAF"/>
    <w:rsid w:val="001201AA"/>
    <w:rsid w:val="001204EB"/>
    <w:rsid w:val="00121856"/>
    <w:rsid w:val="00123723"/>
    <w:rsid w:val="0012430B"/>
    <w:rsid w:val="0012460C"/>
    <w:rsid w:val="001248FE"/>
    <w:rsid w:val="00126C0A"/>
    <w:rsid w:val="00126E27"/>
    <w:rsid w:val="00130032"/>
    <w:rsid w:val="001304E4"/>
    <w:rsid w:val="001307A5"/>
    <w:rsid w:val="0013104B"/>
    <w:rsid w:val="00131F42"/>
    <w:rsid w:val="0013268B"/>
    <w:rsid w:val="00132D8A"/>
    <w:rsid w:val="00132DF1"/>
    <w:rsid w:val="001354E9"/>
    <w:rsid w:val="001357F1"/>
    <w:rsid w:val="00135E03"/>
    <w:rsid w:val="0013600F"/>
    <w:rsid w:val="00137A2A"/>
    <w:rsid w:val="001404B5"/>
    <w:rsid w:val="00140784"/>
    <w:rsid w:val="00140FA8"/>
    <w:rsid w:val="00141071"/>
    <w:rsid w:val="001417AF"/>
    <w:rsid w:val="0014232A"/>
    <w:rsid w:val="00142FEB"/>
    <w:rsid w:val="00143A2D"/>
    <w:rsid w:val="00143E8F"/>
    <w:rsid w:val="00145A41"/>
    <w:rsid w:val="00146D99"/>
    <w:rsid w:val="00146E04"/>
    <w:rsid w:val="00147BD8"/>
    <w:rsid w:val="00147D8C"/>
    <w:rsid w:val="00147F90"/>
    <w:rsid w:val="00150DBE"/>
    <w:rsid w:val="00151675"/>
    <w:rsid w:val="00152366"/>
    <w:rsid w:val="00152803"/>
    <w:rsid w:val="00152F4B"/>
    <w:rsid w:val="00154FBF"/>
    <w:rsid w:val="001552DD"/>
    <w:rsid w:val="00155EC0"/>
    <w:rsid w:val="00157435"/>
    <w:rsid w:val="001604AE"/>
    <w:rsid w:val="001610D2"/>
    <w:rsid w:val="001619AE"/>
    <w:rsid w:val="001625C0"/>
    <w:rsid w:val="00163D17"/>
    <w:rsid w:val="00163E75"/>
    <w:rsid w:val="00164157"/>
    <w:rsid w:val="0016471A"/>
    <w:rsid w:val="00166D11"/>
    <w:rsid w:val="00170B1B"/>
    <w:rsid w:val="0017122F"/>
    <w:rsid w:val="00172A80"/>
    <w:rsid w:val="00173F94"/>
    <w:rsid w:val="00174071"/>
    <w:rsid w:val="0017446F"/>
    <w:rsid w:val="00174E4E"/>
    <w:rsid w:val="0017504D"/>
    <w:rsid w:val="0017616B"/>
    <w:rsid w:val="0017671A"/>
    <w:rsid w:val="00177422"/>
    <w:rsid w:val="001815A5"/>
    <w:rsid w:val="001826DF"/>
    <w:rsid w:val="001830F2"/>
    <w:rsid w:val="00184590"/>
    <w:rsid w:val="0018461A"/>
    <w:rsid w:val="0018535D"/>
    <w:rsid w:val="00187029"/>
    <w:rsid w:val="001870D1"/>
    <w:rsid w:val="00187278"/>
    <w:rsid w:val="001875B5"/>
    <w:rsid w:val="0018781E"/>
    <w:rsid w:val="001900AC"/>
    <w:rsid w:val="0019262D"/>
    <w:rsid w:val="00194BDB"/>
    <w:rsid w:val="0019537B"/>
    <w:rsid w:val="00195B1E"/>
    <w:rsid w:val="0019711E"/>
    <w:rsid w:val="00197505"/>
    <w:rsid w:val="00197DAF"/>
    <w:rsid w:val="001A1B35"/>
    <w:rsid w:val="001A232C"/>
    <w:rsid w:val="001A395B"/>
    <w:rsid w:val="001A48A2"/>
    <w:rsid w:val="001A55FD"/>
    <w:rsid w:val="001A699B"/>
    <w:rsid w:val="001A6F61"/>
    <w:rsid w:val="001A75B6"/>
    <w:rsid w:val="001A7CDD"/>
    <w:rsid w:val="001B0419"/>
    <w:rsid w:val="001B225E"/>
    <w:rsid w:val="001B3024"/>
    <w:rsid w:val="001B31F4"/>
    <w:rsid w:val="001B39D5"/>
    <w:rsid w:val="001B3CF3"/>
    <w:rsid w:val="001B40AF"/>
    <w:rsid w:val="001B51E6"/>
    <w:rsid w:val="001B6661"/>
    <w:rsid w:val="001B68AB"/>
    <w:rsid w:val="001B6C07"/>
    <w:rsid w:val="001B72B8"/>
    <w:rsid w:val="001C106E"/>
    <w:rsid w:val="001C5ED4"/>
    <w:rsid w:val="001C69B3"/>
    <w:rsid w:val="001C7D61"/>
    <w:rsid w:val="001D0C93"/>
    <w:rsid w:val="001D2430"/>
    <w:rsid w:val="001D2BDD"/>
    <w:rsid w:val="001D4CEF"/>
    <w:rsid w:val="001D5595"/>
    <w:rsid w:val="001D6881"/>
    <w:rsid w:val="001D7874"/>
    <w:rsid w:val="001D7C3B"/>
    <w:rsid w:val="001D7F22"/>
    <w:rsid w:val="001E12CB"/>
    <w:rsid w:val="001E39EB"/>
    <w:rsid w:val="001E6148"/>
    <w:rsid w:val="001E625D"/>
    <w:rsid w:val="001E6FE3"/>
    <w:rsid w:val="001E7A43"/>
    <w:rsid w:val="001F0F17"/>
    <w:rsid w:val="001F2CC9"/>
    <w:rsid w:val="001F3347"/>
    <w:rsid w:val="001F4870"/>
    <w:rsid w:val="001F5657"/>
    <w:rsid w:val="001F69E4"/>
    <w:rsid w:val="001F7745"/>
    <w:rsid w:val="001F77D0"/>
    <w:rsid w:val="00200063"/>
    <w:rsid w:val="00200D9D"/>
    <w:rsid w:val="00211EA9"/>
    <w:rsid w:val="002122F3"/>
    <w:rsid w:val="00212341"/>
    <w:rsid w:val="002125B4"/>
    <w:rsid w:val="002132DA"/>
    <w:rsid w:val="00213D5E"/>
    <w:rsid w:val="00214D2B"/>
    <w:rsid w:val="002155B8"/>
    <w:rsid w:val="00216433"/>
    <w:rsid w:val="00216BF9"/>
    <w:rsid w:val="00216C4A"/>
    <w:rsid w:val="00217060"/>
    <w:rsid w:val="002174C0"/>
    <w:rsid w:val="00220108"/>
    <w:rsid w:val="00223D8D"/>
    <w:rsid w:val="00224839"/>
    <w:rsid w:val="002249B2"/>
    <w:rsid w:val="002249DF"/>
    <w:rsid w:val="0022511A"/>
    <w:rsid w:val="00225C30"/>
    <w:rsid w:val="00226574"/>
    <w:rsid w:val="00226BA0"/>
    <w:rsid w:val="002275FC"/>
    <w:rsid w:val="002278EC"/>
    <w:rsid w:val="00227BA4"/>
    <w:rsid w:val="00230949"/>
    <w:rsid w:val="002310A8"/>
    <w:rsid w:val="00231332"/>
    <w:rsid w:val="002319B7"/>
    <w:rsid w:val="00231B87"/>
    <w:rsid w:val="0023280E"/>
    <w:rsid w:val="002339A2"/>
    <w:rsid w:val="00233B1E"/>
    <w:rsid w:val="00234AF6"/>
    <w:rsid w:val="00234C09"/>
    <w:rsid w:val="0023605F"/>
    <w:rsid w:val="002377D1"/>
    <w:rsid w:val="00240631"/>
    <w:rsid w:val="00240C97"/>
    <w:rsid w:val="00241047"/>
    <w:rsid w:val="00242FCC"/>
    <w:rsid w:val="00242FCD"/>
    <w:rsid w:val="00243910"/>
    <w:rsid w:val="00245C57"/>
    <w:rsid w:val="0024785D"/>
    <w:rsid w:val="00250481"/>
    <w:rsid w:val="002506BC"/>
    <w:rsid w:val="00250946"/>
    <w:rsid w:val="002509EF"/>
    <w:rsid w:val="00250CBF"/>
    <w:rsid w:val="00252942"/>
    <w:rsid w:val="0025372C"/>
    <w:rsid w:val="00254345"/>
    <w:rsid w:val="002546CF"/>
    <w:rsid w:val="00254B7C"/>
    <w:rsid w:val="00255A9C"/>
    <w:rsid w:val="00256DC4"/>
    <w:rsid w:val="002602B4"/>
    <w:rsid w:val="00261E56"/>
    <w:rsid w:val="00263170"/>
    <w:rsid w:val="00263982"/>
    <w:rsid w:val="00264288"/>
    <w:rsid w:val="00264557"/>
    <w:rsid w:val="00264809"/>
    <w:rsid w:val="00264CD4"/>
    <w:rsid w:val="00264ED9"/>
    <w:rsid w:val="002650E2"/>
    <w:rsid w:val="0026593D"/>
    <w:rsid w:val="00267114"/>
    <w:rsid w:val="00270FB6"/>
    <w:rsid w:val="00272E83"/>
    <w:rsid w:val="0027707E"/>
    <w:rsid w:val="00277C76"/>
    <w:rsid w:val="002805AB"/>
    <w:rsid w:val="0028096B"/>
    <w:rsid w:val="0028257E"/>
    <w:rsid w:val="002831AB"/>
    <w:rsid w:val="0028383E"/>
    <w:rsid w:val="00283A2D"/>
    <w:rsid w:val="00284204"/>
    <w:rsid w:val="002856F9"/>
    <w:rsid w:val="00286822"/>
    <w:rsid w:val="00286A4F"/>
    <w:rsid w:val="002873B8"/>
    <w:rsid w:val="00287D3C"/>
    <w:rsid w:val="00290C43"/>
    <w:rsid w:val="00290E7C"/>
    <w:rsid w:val="00291773"/>
    <w:rsid w:val="0029243F"/>
    <w:rsid w:val="00292A6D"/>
    <w:rsid w:val="00292DD3"/>
    <w:rsid w:val="0029417A"/>
    <w:rsid w:val="0029563E"/>
    <w:rsid w:val="002962A7"/>
    <w:rsid w:val="00297E03"/>
    <w:rsid w:val="002A01BF"/>
    <w:rsid w:val="002A168C"/>
    <w:rsid w:val="002A1CBA"/>
    <w:rsid w:val="002A2CC9"/>
    <w:rsid w:val="002A35D5"/>
    <w:rsid w:val="002A3DC7"/>
    <w:rsid w:val="002A5338"/>
    <w:rsid w:val="002A6F31"/>
    <w:rsid w:val="002A7954"/>
    <w:rsid w:val="002B215D"/>
    <w:rsid w:val="002B2A5A"/>
    <w:rsid w:val="002B2BD7"/>
    <w:rsid w:val="002B33B1"/>
    <w:rsid w:val="002B3E7B"/>
    <w:rsid w:val="002B4250"/>
    <w:rsid w:val="002B49E2"/>
    <w:rsid w:val="002B4C0A"/>
    <w:rsid w:val="002B63D4"/>
    <w:rsid w:val="002B7B00"/>
    <w:rsid w:val="002B7C44"/>
    <w:rsid w:val="002C0C9C"/>
    <w:rsid w:val="002C222B"/>
    <w:rsid w:val="002C2B17"/>
    <w:rsid w:val="002C2B53"/>
    <w:rsid w:val="002C4504"/>
    <w:rsid w:val="002C49D7"/>
    <w:rsid w:val="002D0606"/>
    <w:rsid w:val="002D0761"/>
    <w:rsid w:val="002D08E8"/>
    <w:rsid w:val="002D1221"/>
    <w:rsid w:val="002D14A2"/>
    <w:rsid w:val="002D3DD0"/>
    <w:rsid w:val="002D488F"/>
    <w:rsid w:val="002D4E33"/>
    <w:rsid w:val="002E16DC"/>
    <w:rsid w:val="002E1F3A"/>
    <w:rsid w:val="002E22C9"/>
    <w:rsid w:val="002E2449"/>
    <w:rsid w:val="002E260E"/>
    <w:rsid w:val="002E298A"/>
    <w:rsid w:val="002E2C8C"/>
    <w:rsid w:val="002E2EC4"/>
    <w:rsid w:val="002E39D5"/>
    <w:rsid w:val="002E3D16"/>
    <w:rsid w:val="002E3FF3"/>
    <w:rsid w:val="002E552F"/>
    <w:rsid w:val="002E5602"/>
    <w:rsid w:val="002E5F0C"/>
    <w:rsid w:val="002E66E3"/>
    <w:rsid w:val="002E72C6"/>
    <w:rsid w:val="002F0563"/>
    <w:rsid w:val="002F0AC5"/>
    <w:rsid w:val="002F10F1"/>
    <w:rsid w:val="002F125F"/>
    <w:rsid w:val="002F12CE"/>
    <w:rsid w:val="002F2A0D"/>
    <w:rsid w:val="002F33D7"/>
    <w:rsid w:val="002F4CE9"/>
    <w:rsid w:val="002F5DC0"/>
    <w:rsid w:val="003007AA"/>
    <w:rsid w:val="0030104B"/>
    <w:rsid w:val="00301978"/>
    <w:rsid w:val="00302070"/>
    <w:rsid w:val="0030293E"/>
    <w:rsid w:val="0030332C"/>
    <w:rsid w:val="00303894"/>
    <w:rsid w:val="00304427"/>
    <w:rsid w:val="003051C2"/>
    <w:rsid w:val="003063BD"/>
    <w:rsid w:val="00306A85"/>
    <w:rsid w:val="00307BF7"/>
    <w:rsid w:val="00307F83"/>
    <w:rsid w:val="00310983"/>
    <w:rsid w:val="00310B83"/>
    <w:rsid w:val="00310FD0"/>
    <w:rsid w:val="00311345"/>
    <w:rsid w:val="003114F6"/>
    <w:rsid w:val="00311548"/>
    <w:rsid w:val="00312296"/>
    <w:rsid w:val="00313F03"/>
    <w:rsid w:val="00314F0E"/>
    <w:rsid w:val="00315A18"/>
    <w:rsid w:val="00316065"/>
    <w:rsid w:val="00317793"/>
    <w:rsid w:val="00320360"/>
    <w:rsid w:val="00321D8E"/>
    <w:rsid w:val="0032210E"/>
    <w:rsid w:val="00322764"/>
    <w:rsid w:val="003244D7"/>
    <w:rsid w:val="00325928"/>
    <w:rsid w:val="00326407"/>
    <w:rsid w:val="00326428"/>
    <w:rsid w:val="00327169"/>
    <w:rsid w:val="003279B2"/>
    <w:rsid w:val="0033177F"/>
    <w:rsid w:val="00332863"/>
    <w:rsid w:val="003336C7"/>
    <w:rsid w:val="003339C6"/>
    <w:rsid w:val="0033432E"/>
    <w:rsid w:val="00334F20"/>
    <w:rsid w:val="00335006"/>
    <w:rsid w:val="003353E4"/>
    <w:rsid w:val="003365CA"/>
    <w:rsid w:val="0033684D"/>
    <w:rsid w:val="00336DFC"/>
    <w:rsid w:val="003371F1"/>
    <w:rsid w:val="003374C5"/>
    <w:rsid w:val="00337B42"/>
    <w:rsid w:val="00341B42"/>
    <w:rsid w:val="00342CDC"/>
    <w:rsid w:val="00342D0A"/>
    <w:rsid w:val="00343400"/>
    <w:rsid w:val="0034348F"/>
    <w:rsid w:val="00344692"/>
    <w:rsid w:val="003447DB"/>
    <w:rsid w:val="00345288"/>
    <w:rsid w:val="00346317"/>
    <w:rsid w:val="003477EB"/>
    <w:rsid w:val="00350DE9"/>
    <w:rsid w:val="0035230D"/>
    <w:rsid w:val="00356653"/>
    <w:rsid w:val="0035743F"/>
    <w:rsid w:val="00357BE2"/>
    <w:rsid w:val="0036170C"/>
    <w:rsid w:val="00361876"/>
    <w:rsid w:val="00362359"/>
    <w:rsid w:val="00362902"/>
    <w:rsid w:val="00362D3A"/>
    <w:rsid w:val="003642CB"/>
    <w:rsid w:val="00365D01"/>
    <w:rsid w:val="003667FC"/>
    <w:rsid w:val="00366D12"/>
    <w:rsid w:val="00366E0F"/>
    <w:rsid w:val="00367852"/>
    <w:rsid w:val="00367945"/>
    <w:rsid w:val="00367AAB"/>
    <w:rsid w:val="00367FBE"/>
    <w:rsid w:val="003708E6"/>
    <w:rsid w:val="00370A73"/>
    <w:rsid w:val="00371B52"/>
    <w:rsid w:val="00371D0D"/>
    <w:rsid w:val="00372134"/>
    <w:rsid w:val="0037504A"/>
    <w:rsid w:val="003759D4"/>
    <w:rsid w:val="00376574"/>
    <w:rsid w:val="00376EDA"/>
    <w:rsid w:val="003776C8"/>
    <w:rsid w:val="00377F32"/>
    <w:rsid w:val="00381A72"/>
    <w:rsid w:val="00381AA5"/>
    <w:rsid w:val="00382E3A"/>
    <w:rsid w:val="0038399A"/>
    <w:rsid w:val="00384676"/>
    <w:rsid w:val="00384DDC"/>
    <w:rsid w:val="0038578F"/>
    <w:rsid w:val="003864F0"/>
    <w:rsid w:val="00386F08"/>
    <w:rsid w:val="003870C2"/>
    <w:rsid w:val="003871A1"/>
    <w:rsid w:val="00387E62"/>
    <w:rsid w:val="0039015F"/>
    <w:rsid w:val="0039070B"/>
    <w:rsid w:val="00390857"/>
    <w:rsid w:val="0039099A"/>
    <w:rsid w:val="00392D00"/>
    <w:rsid w:val="00393BDC"/>
    <w:rsid w:val="003945FD"/>
    <w:rsid w:val="0039661A"/>
    <w:rsid w:val="003972EF"/>
    <w:rsid w:val="003A06AE"/>
    <w:rsid w:val="003A0D29"/>
    <w:rsid w:val="003A2808"/>
    <w:rsid w:val="003A282C"/>
    <w:rsid w:val="003A2CD0"/>
    <w:rsid w:val="003A39C7"/>
    <w:rsid w:val="003A481A"/>
    <w:rsid w:val="003A4BF3"/>
    <w:rsid w:val="003A5267"/>
    <w:rsid w:val="003A7ABA"/>
    <w:rsid w:val="003B0898"/>
    <w:rsid w:val="003B0CA0"/>
    <w:rsid w:val="003B1DA5"/>
    <w:rsid w:val="003B2518"/>
    <w:rsid w:val="003B28BF"/>
    <w:rsid w:val="003B420D"/>
    <w:rsid w:val="003B4279"/>
    <w:rsid w:val="003B47C4"/>
    <w:rsid w:val="003B49BF"/>
    <w:rsid w:val="003B73D9"/>
    <w:rsid w:val="003C1D55"/>
    <w:rsid w:val="003C2939"/>
    <w:rsid w:val="003C30BA"/>
    <w:rsid w:val="003C390D"/>
    <w:rsid w:val="003C464F"/>
    <w:rsid w:val="003C55F5"/>
    <w:rsid w:val="003C6C16"/>
    <w:rsid w:val="003C6D2E"/>
    <w:rsid w:val="003C7989"/>
    <w:rsid w:val="003D088E"/>
    <w:rsid w:val="003D1605"/>
    <w:rsid w:val="003D1E84"/>
    <w:rsid w:val="003D27D8"/>
    <w:rsid w:val="003D2C06"/>
    <w:rsid w:val="003D4C5F"/>
    <w:rsid w:val="003D5A79"/>
    <w:rsid w:val="003D5CE1"/>
    <w:rsid w:val="003D6017"/>
    <w:rsid w:val="003D7137"/>
    <w:rsid w:val="003D74E4"/>
    <w:rsid w:val="003D794D"/>
    <w:rsid w:val="003E2D48"/>
    <w:rsid w:val="003E2D85"/>
    <w:rsid w:val="003E2DCA"/>
    <w:rsid w:val="003E2F03"/>
    <w:rsid w:val="003E3058"/>
    <w:rsid w:val="003E3211"/>
    <w:rsid w:val="003E74F9"/>
    <w:rsid w:val="003E76A9"/>
    <w:rsid w:val="003E7710"/>
    <w:rsid w:val="003E77EE"/>
    <w:rsid w:val="003F0484"/>
    <w:rsid w:val="003F0809"/>
    <w:rsid w:val="003F21C0"/>
    <w:rsid w:val="003F2C97"/>
    <w:rsid w:val="003F4E76"/>
    <w:rsid w:val="003F61F5"/>
    <w:rsid w:val="003F6A8C"/>
    <w:rsid w:val="003F6E33"/>
    <w:rsid w:val="003F755C"/>
    <w:rsid w:val="00401F61"/>
    <w:rsid w:val="00403D9F"/>
    <w:rsid w:val="00403DA6"/>
    <w:rsid w:val="00404DCA"/>
    <w:rsid w:val="0040691E"/>
    <w:rsid w:val="00406F01"/>
    <w:rsid w:val="00410B26"/>
    <w:rsid w:val="00410F75"/>
    <w:rsid w:val="0041257B"/>
    <w:rsid w:val="004136D4"/>
    <w:rsid w:val="00413A19"/>
    <w:rsid w:val="00413ADA"/>
    <w:rsid w:val="004146D7"/>
    <w:rsid w:val="00415DF6"/>
    <w:rsid w:val="00416D50"/>
    <w:rsid w:val="00416FD5"/>
    <w:rsid w:val="00417772"/>
    <w:rsid w:val="00420E6A"/>
    <w:rsid w:val="0042128F"/>
    <w:rsid w:val="004259D0"/>
    <w:rsid w:val="00425A9E"/>
    <w:rsid w:val="0042615B"/>
    <w:rsid w:val="00426D30"/>
    <w:rsid w:val="00426D6B"/>
    <w:rsid w:val="00430635"/>
    <w:rsid w:val="00431E6C"/>
    <w:rsid w:val="00433752"/>
    <w:rsid w:val="00433B68"/>
    <w:rsid w:val="00433CE7"/>
    <w:rsid w:val="004342CA"/>
    <w:rsid w:val="00434806"/>
    <w:rsid w:val="00436C98"/>
    <w:rsid w:val="004420FE"/>
    <w:rsid w:val="004421DE"/>
    <w:rsid w:val="00443499"/>
    <w:rsid w:val="00443D74"/>
    <w:rsid w:val="00445321"/>
    <w:rsid w:val="00446FBD"/>
    <w:rsid w:val="0045198C"/>
    <w:rsid w:val="00451BCB"/>
    <w:rsid w:val="00451DB3"/>
    <w:rsid w:val="00452738"/>
    <w:rsid w:val="004537BC"/>
    <w:rsid w:val="00453EA2"/>
    <w:rsid w:val="00453F08"/>
    <w:rsid w:val="00455913"/>
    <w:rsid w:val="00456091"/>
    <w:rsid w:val="004603F5"/>
    <w:rsid w:val="0046062E"/>
    <w:rsid w:val="00460FC6"/>
    <w:rsid w:val="00461745"/>
    <w:rsid w:val="00461944"/>
    <w:rsid w:val="00461F64"/>
    <w:rsid w:val="0046272C"/>
    <w:rsid w:val="00462F5D"/>
    <w:rsid w:val="004656BF"/>
    <w:rsid w:val="00466321"/>
    <w:rsid w:val="00466856"/>
    <w:rsid w:val="00466C2A"/>
    <w:rsid w:val="0047083A"/>
    <w:rsid w:val="004716C3"/>
    <w:rsid w:val="00471830"/>
    <w:rsid w:val="00471CE6"/>
    <w:rsid w:val="004735ED"/>
    <w:rsid w:val="004735EE"/>
    <w:rsid w:val="004753B6"/>
    <w:rsid w:val="004753BF"/>
    <w:rsid w:val="00475DD8"/>
    <w:rsid w:val="00476B7F"/>
    <w:rsid w:val="0047798A"/>
    <w:rsid w:val="00481FA6"/>
    <w:rsid w:val="00482753"/>
    <w:rsid w:val="0048284A"/>
    <w:rsid w:val="004835D0"/>
    <w:rsid w:val="00483B1F"/>
    <w:rsid w:val="00484B9B"/>
    <w:rsid w:val="00484F57"/>
    <w:rsid w:val="004855F6"/>
    <w:rsid w:val="0048661E"/>
    <w:rsid w:val="00490FE4"/>
    <w:rsid w:val="0049223D"/>
    <w:rsid w:val="00492C42"/>
    <w:rsid w:val="004943F9"/>
    <w:rsid w:val="00494670"/>
    <w:rsid w:val="00494D0B"/>
    <w:rsid w:val="004965F2"/>
    <w:rsid w:val="00496662"/>
    <w:rsid w:val="00496956"/>
    <w:rsid w:val="004A045F"/>
    <w:rsid w:val="004A1228"/>
    <w:rsid w:val="004A3823"/>
    <w:rsid w:val="004A388C"/>
    <w:rsid w:val="004A40E9"/>
    <w:rsid w:val="004A64CE"/>
    <w:rsid w:val="004A7ADD"/>
    <w:rsid w:val="004B096B"/>
    <w:rsid w:val="004B0AD6"/>
    <w:rsid w:val="004B449A"/>
    <w:rsid w:val="004B5553"/>
    <w:rsid w:val="004B656B"/>
    <w:rsid w:val="004B6C63"/>
    <w:rsid w:val="004B7E6F"/>
    <w:rsid w:val="004C02B2"/>
    <w:rsid w:val="004C0D9C"/>
    <w:rsid w:val="004C12C3"/>
    <w:rsid w:val="004C16A5"/>
    <w:rsid w:val="004C1884"/>
    <w:rsid w:val="004C1ED5"/>
    <w:rsid w:val="004C2F15"/>
    <w:rsid w:val="004C4395"/>
    <w:rsid w:val="004C46AF"/>
    <w:rsid w:val="004C47E9"/>
    <w:rsid w:val="004C4F65"/>
    <w:rsid w:val="004C6B48"/>
    <w:rsid w:val="004D03C9"/>
    <w:rsid w:val="004D0674"/>
    <w:rsid w:val="004D222F"/>
    <w:rsid w:val="004D6E85"/>
    <w:rsid w:val="004D7093"/>
    <w:rsid w:val="004D7174"/>
    <w:rsid w:val="004E2A6A"/>
    <w:rsid w:val="004E2A71"/>
    <w:rsid w:val="004E2BB0"/>
    <w:rsid w:val="004E2F2E"/>
    <w:rsid w:val="004E3367"/>
    <w:rsid w:val="004E3AF9"/>
    <w:rsid w:val="004E3C41"/>
    <w:rsid w:val="004E3D00"/>
    <w:rsid w:val="004E470B"/>
    <w:rsid w:val="004E568F"/>
    <w:rsid w:val="004E653E"/>
    <w:rsid w:val="004E6946"/>
    <w:rsid w:val="004E6E45"/>
    <w:rsid w:val="004E74BF"/>
    <w:rsid w:val="004E7C71"/>
    <w:rsid w:val="004F006E"/>
    <w:rsid w:val="004F0367"/>
    <w:rsid w:val="004F068F"/>
    <w:rsid w:val="004F194F"/>
    <w:rsid w:val="004F1AD8"/>
    <w:rsid w:val="004F1BDA"/>
    <w:rsid w:val="004F1D2D"/>
    <w:rsid w:val="004F2409"/>
    <w:rsid w:val="004F3383"/>
    <w:rsid w:val="004F5079"/>
    <w:rsid w:val="004F50BA"/>
    <w:rsid w:val="0050063F"/>
    <w:rsid w:val="0050218A"/>
    <w:rsid w:val="0050386B"/>
    <w:rsid w:val="005039CB"/>
    <w:rsid w:val="00503D95"/>
    <w:rsid w:val="00504C5F"/>
    <w:rsid w:val="0050558F"/>
    <w:rsid w:val="00506199"/>
    <w:rsid w:val="00506286"/>
    <w:rsid w:val="005063E7"/>
    <w:rsid w:val="005106D3"/>
    <w:rsid w:val="00510813"/>
    <w:rsid w:val="0051117A"/>
    <w:rsid w:val="00511260"/>
    <w:rsid w:val="0051139E"/>
    <w:rsid w:val="005116DE"/>
    <w:rsid w:val="00511990"/>
    <w:rsid w:val="00511DE0"/>
    <w:rsid w:val="0051206E"/>
    <w:rsid w:val="005121D2"/>
    <w:rsid w:val="00512488"/>
    <w:rsid w:val="005133BC"/>
    <w:rsid w:val="0051354F"/>
    <w:rsid w:val="00513A48"/>
    <w:rsid w:val="0051440F"/>
    <w:rsid w:val="00514870"/>
    <w:rsid w:val="00514B9B"/>
    <w:rsid w:val="00514C4D"/>
    <w:rsid w:val="005156DE"/>
    <w:rsid w:val="00515E17"/>
    <w:rsid w:val="00517F02"/>
    <w:rsid w:val="00520920"/>
    <w:rsid w:val="0052183D"/>
    <w:rsid w:val="00522CC6"/>
    <w:rsid w:val="00524303"/>
    <w:rsid w:val="005249DA"/>
    <w:rsid w:val="00524CF8"/>
    <w:rsid w:val="00524DBD"/>
    <w:rsid w:val="005258A2"/>
    <w:rsid w:val="005275C6"/>
    <w:rsid w:val="005302C8"/>
    <w:rsid w:val="00530ACE"/>
    <w:rsid w:val="00530F2D"/>
    <w:rsid w:val="005314B5"/>
    <w:rsid w:val="0053187A"/>
    <w:rsid w:val="00533339"/>
    <w:rsid w:val="00534623"/>
    <w:rsid w:val="005357F9"/>
    <w:rsid w:val="005401AE"/>
    <w:rsid w:val="005401C1"/>
    <w:rsid w:val="00540CE5"/>
    <w:rsid w:val="0054118F"/>
    <w:rsid w:val="00541EEE"/>
    <w:rsid w:val="00542804"/>
    <w:rsid w:val="00542B92"/>
    <w:rsid w:val="00542E07"/>
    <w:rsid w:val="005439EF"/>
    <w:rsid w:val="0054470C"/>
    <w:rsid w:val="00545424"/>
    <w:rsid w:val="00547FF1"/>
    <w:rsid w:val="005516CD"/>
    <w:rsid w:val="0055255C"/>
    <w:rsid w:val="005526A0"/>
    <w:rsid w:val="005532E4"/>
    <w:rsid w:val="0055342D"/>
    <w:rsid w:val="0055344A"/>
    <w:rsid w:val="00553CB6"/>
    <w:rsid w:val="00554A7B"/>
    <w:rsid w:val="0055572C"/>
    <w:rsid w:val="00555CED"/>
    <w:rsid w:val="00556ECE"/>
    <w:rsid w:val="00557915"/>
    <w:rsid w:val="00560B5B"/>
    <w:rsid w:val="0056106A"/>
    <w:rsid w:val="005619CE"/>
    <w:rsid w:val="00561F1B"/>
    <w:rsid w:val="005625B1"/>
    <w:rsid w:val="00562D32"/>
    <w:rsid w:val="005638CE"/>
    <w:rsid w:val="00563D1F"/>
    <w:rsid w:val="00563E41"/>
    <w:rsid w:val="00564A80"/>
    <w:rsid w:val="00566F84"/>
    <w:rsid w:val="00567A99"/>
    <w:rsid w:val="0057087E"/>
    <w:rsid w:val="00571448"/>
    <w:rsid w:val="00571621"/>
    <w:rsid w:val="005720AE"/>
    <w:rsid w:val="005758F9"/>
    <w:rsid w:val="00575A10"/>
    <w:rsid w:val="00575DD2"/>
    <w:rsid w:val="005760EB"/>
    <w:rsid w:val="00576512"/>
    <w:rsid w:val="00576DCA"/>
    <w:rsid w:val="00577291"/>
    <w:rsid w:val="0057743D"/>
    <w:rsid w:val="00581301"/>
    <w:rsid w:val="00581670"/>
    <w:rsid w:val="005828F5"/>
    <w:rsid w:val="00582F1F"/>
    <w:rsid w:val="00584B80"/>
    <w:rsid w:val="0058501D"/>
    <w:rsid w:val="0058550D"/>
    <w:rsid w:val="00586077"/>
    <w:rsid w:val="00586441"/>
    <w:rsid w:val="00586725"/>
    <w:rsid w:val="0059068A"/>
    <w:rsid w:val="0059100D"/>
    <w:rsid w:val="005919C9"/>
    <w:rsid w:val="00592809"/>
    <w:rsid w:val="00592B4D"/>
    <w:rsid w:val="00592C34"/>
    <w:rsid w:val="00593D6B"/>
    <w:rsid w:val="00594104"/>
    <w:rsid w:val="00594D77"/>
    <w:rsid w:val="0059597B"/>
    <w:rsid w:val="00595F07"/>
    <w:rsid w:val="005969E4"/>
    <w:rsid w:val="00597EDD"/>
    <w:rsid w:val="005A0067"/>
    <w:rsid w:val="005A06B7"/>
    <w:rsid w:val="005A1759"/>
    <w:rsid w:val="005A22D9"/>
    <w:rsid w:val="005A24C6"/>
    <w:rsid w:val="005A38C6"/>
    <w:rsid w:val="005A4051"/>
    <w:rsid w:val="005A4090"/>
    <w:rsid w:val="005A4171"/>
    <w:rsid w:val="005A5A7D"/>
    <w:rsid w:val="005A66D5"/>
    <w:rsid w:val="005A68A7"/>
    <w:rsid w:val="005A6C22"/>
    <w:rsid w:val="005A77E6"/>
    <w:rsid w:val="005A781C"/>
    <w:rsid w:val="005B0A21"/>
    <w:rsid w:val="005B28A2"/>
    <w:rsid w:val="005B4DF7"/>
    <w:rsid w:val="005B5143"/>
    <w:rsid w:val="005B70C9"/>
    <w:rsid w:val="005B7585"/>
    <w:rsid w:val="005B7C53"/>
    <w:rsid w:val="005C24FC"/>
    <w:rsid w:val="005C2968"/>
    <w:rsid w:val="005C2F08"/>
    <w:rsid w:val="005C4508"/>
    <w:rsid w:val="005C506B"/>
    <w:rsid w:val="005C52F0"/>
    <w:rsid w:val="005C65F0"/>
    <w:rsid w:val="005C7ED8"/>
    <w:rsid w:val="005C7F8C"/>
    <w:rsid w:val="005D00FF"/>
    <w:rsid w:val="005D02AE"/>
    <w:rsid w:val="005D163C"/>
    <w:rsid w:val="005D184C"/>
    <w:rsid w:val="005D36AB"/>
    <w:rsid w:val="005D50CE"/>
    <w:rsid w:val="005D6C06"/>
    <w:rsid w:val="005E1396"/>
    <w:rsid w:val="005E151D"/>
    <w:rsid w:val="005E2618"/>
    <w:rsid w:val="005E2715"/>
    <w:rsid w:val="005E44DA"/>
    <w:rsid w:val="005E780A"/>
    <w:rsid w:val="005F1852"/>
    <w:rsid w:val="005F1D79"/>
    <w:rsid w:val="005F1F2E"/>
    <w:rsid w:val="005F2294"/>
    <w:rsid w:val="005F30BB"/>
    <w:rsid w:val="005F36EA"/>
    <w:rsid w:val="005F690C"/>
    <w:rsid w:val="005F6EE5"/>
    <w:rsid w:val="00600FD4"/>
    <w:rsid w:val="00601382"/>
    <w:rsid w:val="00603BA7"/>
    <w:rsid w:val="006048FC"/>
    <w:rsid w:val="006051C0"/>
    <w:rsid w:val="00606C52"/>
    <w:rsid w:val="00607426"/>
    <w:rsid w:val="00607E14"/>
    <w:rsid w:val="006101C3"/>
    <w:rsid w:val="00611317"/>
    <w:rsid w:val="006123B9"/>
    <w:rsid w:val="0061537C"/>
    <w:rsid w:val="0061594A"/>
    <w:rsid w:val="00615D01"/>
    <w:rsid w:val="00616E78"/>
    <w:rsid w:val="00616E88"/>
    <w:rsid w:val="006174CD"/>
    <w:rsid w:val="00617565"/>
    <w:rsid w:val="00617CC3"/>
    <w:rsid w:val="0062106B"/>
    <w:rsid w:val="00621233"/>
    <w:rsid w:val="00623641"/>
    <w:rsid w:val="00624EC9"/>
    <w:rsid w:val="0062545C"/>
    <w:rsid w:val="006260D3"/>
    <w:rsid w:val="006262D7"/>
    <w:rsid w:val="0062649C"/>
    <w:rsid w:val="00626512"/>
    <w:rsid w:val="006268C1"/>
    <w:rsid w:val="00626A45"/>
    <w:rsid w:val="00627168"/>
    <w:rsid w:val="00627A89"/>
    <w:rsid w:val="00627B32"/>
    <w:rsid w:val="00627EA4"/>
    <w:rsid w:val="00630B7D"/>
    <w:rsid w:val="00630D5F"/>
    <w:rsid w:val="0063192A"/>
    <w:rsid w:val="0063199C"/>
    <w:rsid w:val="00632412"/>
    <w:rsid w:val="00632ECE"/>
    <w:rsid w:val="0063508D"/>
    <w:rsid w:val="00636519"/>
    <w:rsid w:val="00637654"/>
    <w:rsid w:val="006377A6"/>
    <w:rsid w:val="00637A3D"/>
    <w:rsid w:val="00637FDD"/>
    <w:rsid w:val="0064023E"/>
    <w:rsid w:val="006402D3"/>
    <w:rsid w:val="006411EF"/>
    <w:rsid w:val="00641600"/>
    <w:rsid w:val="0064172C"/>
    <w:rsid w:val="0064187F"/>
    <w:rsid w:val="00643B35"/>
    <w:rsid w:val="00644A4E"/>
    <w:rsid w:val="00645465"/>
    <w:rsid w:val="006505AB"/>
    <w:rsid w:val="00651AF0"/>
    <w:rsid w:val="0065250E"/>
    <w:rsid w:val="00653260"/>
    <w:rsid w:val="00653687"/>
    <w:rsid w:val="006544E1"/>
    <w:rsid w:val="0065524F"/>
    <w:rsid w:val="00655C65"/>
    <w:rsid w:val="006569FE"/>
    <w:rsid w:val="0065755E"/>
    <w:rsid w:val="00657A5C"/>
    <w:rsid w:val="00657C4A"/>
    <w:rsid w:val="00657C77"/>
    <w:rsid w:val="00657E23"/>
    <w:rsid w:val="00660DB0"/>
    <w:rsid w:val="006631A0"/>
    <w:rsid w:val="00664A7B"/>
    <w:rsid w:val="00665868"/>
    <w:rsid w:val="00670DDC"/>
    <w:rsid w:val="00672BBE"/>
    <w:rsid w:val="00674179"/>
    <w:rsid w:val="006748B8"/>
    <w:rsid w:val="006775C3"/>
    <w:rsid w:val="00677F99"/>
    <w:rsid w:val="0068055D"/>
    <w:rsid w:val="00681167"/>
    <w:rsid w:val="00681CD4"/>
    <w:rsid w:val="0068662D"/>
    <w:rsid w:val="0068673F"/>
    <w:rsid w:val="0068758D"/>
    <w:rsid w:val="0069237B"/>
    <w:rsid w:val="0069290A"/>
    <w:rsid w:val="00692E00"/>
    <w:rsid w:val="00692FA3"/>
    <w:rsid w:val="0069342A"/>
    <w:rsid w:val="006970A7"/>
    <w:rsid w:val="006975F2"/>
    <w:rsid w:val="00697666"/>
    <w:rsid w:val="0069775A"/>
    <w:rsid w:val="00697813"/>
    <w:rsid w:val="00697BCB"/>
    <w:rsid w:val="00697C86"/>
    <w:rsid w:val="00697D3D"/>
    <w:rsid w:val="006A32EA"/>
    <w:rsid w:val="006A3EE8"/>
    <w:rsid w:val="006A4123"/>
    <w:rsid w:val="006A6678"/>
    <w:rsid w:val="006A6B68"/>
    <w:rsid w:val="006A703D"/>
    <w:rsid w:val="006A72BF"/>
    <w:rsid w:val="006B03F2"/>
    <w:rsid w:val="006B10C8"/>
    <w:rsid w:val="006B1CC5"/>
    <w:rsid w:val="006B3276"/>
    <w:rsid w:val="006B37DC"/>
    <w:rsid w:val="006B46D9"/>
    <w:rsid w:val="006B4823"/>
    <w:rsid w:val="006B495D"/>
    <w:rsid w:val="006B4F68"/>
    <w:rsid w:val="006B5B8F"/>
    <w:rsid w:val="006B611C"/>
    <w:rsid w:val="006C018A"/>
    <w:rsid w:val="006C0592"/>
    <w:rsid w:val="006C1BAE"/>
    <w:rsid w:val="006C272E"/>
    <w:rsid w:val="006C2D5B"/>
    <w:rsid w:val="006C4116"/>
    <w:rsid w:val="006C5479"/>
    <w:rsid w:val="006C5C20"/>
    <w:rsid w:val="006C6EF5"/>
    <w:rsid w:val="006D0400"/>
    <w:rsid w:val="006D0ADF"/>
    <w:rsid w:val="006D0B14"/>
    <w:rsid w:val="006D0E1E"/>
    <w:rsid w:val="006D13B5"/>
    <w:rsid w:val="006D32C7"/>
    <w:rsid w:val="006D4BF4"/>
    <w:rsid w:val="006D4DAC"/>
    <w:rsid w:val="006D7EF8"/>
    <w:rsid w:val="006E12FF"/>
    <w:rsid w:val="006E3EE4"/>
    <w:rsid w:val="006E52D2"/>
    <w:rsid w:val="006E607E"/>
    <w:rsid w:val="006E64BE"/>
    <w:rsid w:val="006E67B9"/>
    <w:rsid w:val="006E69F7"/>
    <w:rsid w:val="006E73B6"/>
    <w:rsid w:val="006E7DD3"/>
    <w:rsid w:val="006F07E8"/>
    <w:rsid w:val="006F0947"/>
    <w:rsid w:val="006F20D9"/>
    <w:rsid w:val="006F2580"/>
    <w:rsid w:val="006F2996"/>
    <w:rsid w:val="006F369B"/>
    <w:rsid w:val="006F49E6"/>
    <w:rsid w:val="006F4E63"/>
    <w:rsid w:val="006F4F2A"/>
    <w:rsid w:val="006F5788"/>
    <w:rsid w:val="006F5F74"/>
    <w:rsid w:val="006F6107"/>
    <w:rsid w:val="006F67B4"/>
    <w:rsid w:val="006F6AFE"/>
    <w:rsid w:val="006F766F"/>
    <w:rsid w:val="006F7878"/>
    <w:rsid w:val="00700107"/>
    <w:rsid w:val="00700156"/>
    <w:rsid w:val="00700727"/>
    <w:rsid w:val="00700A07"/>
    <w:rsid w:val="00701203"/>
    <w:rsid w:val="007016BF"/>
    <w:rsid w:val="007037DB"/>
    <w:rsid w:val="00704C60"/>
    <w:rsid w:val="00704EDC"/>
    <w:rsid w:val="00706378"/>
    <w:rsid w:val="007065C9"/>
    <w:rsid w:val="00706C5D"/>
    <w:rsid w:val="00706EB6"/>
    <w:rsid w:val="0070709C"/>
    <w:rsid w:val="00707F95"/>
    <w:rsid w:val="00710218"/>
    <w:rsid w:val="0071149B"/>
    <w:rsid w:val="0071236A"/>
    <w:rsid w:val="00712978"/>
    <w:rsid w:val="007136AA"/>
    <w:rsid w:val="00713D9D"/>
    <w:rsid w:val="0071648C"/>
    <w:rsid w:val="0071683E"/>
    <w:rsid w:val="00716E62"/>
    <w:rsid w:val="00716E8A"/>
    <w:rsid w:val="0072054D"/>
    <w:rsid w:val="00720A71"/>
    <w:rsid w:val="00720C38"/>
    <w:rsid w:val="0072569F"/>
    <w:rsid w:val="0072655C"/>
    <w:rsid w:val="007271E5"/>
    <w:rsid w:val="007312EE"/>
    <w:rsid w:val="00732922"/>
    <w:rsid w:val="00734542"/>
    <w:rsid w:val="00735F5E"/>
    <w:rsid w:val="0073715C"/>
    <w:rsid w:val="00737E0D"/>
    <w:rsid w:val="007411BE"/>
    <w:rsid w:val="0074299A"/>
    <w:rsid w:val="0074467A"/>
    <w:rsid w:val="00744834"/>
    <w:rsid w:val="00745342"/>
    <w:rsid w:val="0074548F"/>
    <w:rsid w:val="00747DD3"/>
    <w:rsid w:val="00750D03"/>
    <w:rsid w:val="00751067"/>
    <w:rsid w:val="0075162E"/>
    <w:rsid w:val="00751D33"/>
    <w:rsid w:val="0075211F"/>
    <w:rsid w:val="007533FC"/>
    <w:rsid w:val="007536F6"/>
    <w:rsid w:val="00754034"/>
    <w:rsid w:val="007556F4"/>
    <w:rsid w:val="00756556"/>
    <w:rsid w:val="00760CDC"/>
    <w:rsid w:val="007618C4"/>
    <w:rsid w:val="007664C4"/>
    <w:rsid w:val="00766DE1"/>
    <w:rsid w:val="00767980"/>
    <w:rsid w:val="00767ABC"/>
    <w:rsid w:val="00767E1C"/>
    <w:rsid w:val="00770B19"/>
    <w:rsid w:val="00770C1A"/>
    <w:rsid w:val="0077463F"/>
    <w:rsid w:val="007758C6"/>
    <w:rsid w:val="00775EB3"/>
    <w:rsid w:val="00776A97"/>
    <w:rsid w:val="007836EA"/>
    <w:rsid w:val="00784292"/>
    <w:rsid w:val="00784CDA"/>
    <w:rsid w:val="00785DFB"/>
    <w:rsid w:val="0078659F"/>
    <w:rsid w:val="00786CF3"/>
    <w:rsid w:val="00787B4B"/>
    <w:rsid w:val="007902FA"/>
    <w:rsid w:val="007906C4"/>
    <w:rsid w:val="0079145D"/>
    <w:rsid w:val="007936E7"/>
    <w:rsid w:val="007940EA"/>
    <w:rsid w:val="007961EF"/>
    <w:rsid w:val="007967E8"/>
    <w:rsid w:val="00796898"/>
    <w:rsid w:val="00797B3A"/>
    <w:rsid w:val="007A093E"/>
    <w:rsid w:val="007A0BEE"/>
    <w:rsid w:val="007A132A"/>
    <w:rsid w:val="007A2170"/>
    <w:rsid w:val="007A22BF"/>
    <w:rsid w:val="007A30B4"/>
    <w:rsid w:val="007A3323"/>
    <w:rsid w:val="007A5BBE"/>
    <w:rsid w:val="007A6570"/>
    <w:rsid w:val="007A664E"/>
    <w:rsid w:val="007A6AC6"/>
    <w:rsid w:val="007A7EC6"/>
    <w:rsid w:val="007B088F"/>
    <w:rsid w:val="007B08C4"/>
    <w:rsid w:val="007B29E2"/>
    <w:rsid w:val="007B2A3A"/>
    <w:rsid w:val="007B2BCF"/>
    <w:rsid w:val="007B3384"/>
    <w:rsid w:val="007B3438"/>
    <w:rsid w:val="007B37DC"/>
    <w:rsid w:val="007B3F9B"/>
    <w:rsid w:val="007B4078"/>
    <w:rsid w:val="007B412F"/>
    <w:rsid w:val="007B65A4"/>
    <w:rsid w:val="007B72B8"/>
    <w:rsid w:val="007B7A58"/>
    <w:rsid w:val="007B7B39"/>
    <w:rsid w:val="007C21B5"/>
    <w:rsid w:val="007C2211"/>
    <w:rsid w:val="007C4372"/>
    <w:rsid w:val="007C5703"/>
    <w:rsid w:val="007C612A"/>
    <w:rsid w:val="007C6B45"/>
    <w:rsid w:val="007D08E3"/>
    <w:rsid w:val="007D0F6E"/>
    <w:rsid w:val="007D0F86"/>
    <w:rsid w:val="007D15F6"/>
    <w:rsid w:val="007D218A"/>
    <w:rsid w:val="007D2F7D"/>
    <w:rsid w:val="007D501B"/>
    <w:rsid w:val="007D56AA"/>
    <w:rsid w:val="007D6EBB"/>
    <w:rsid w:val="007D7D72"/>
    <w:rsid w:val="007D7E1A"/>
    <w:rsid w:val="007E1232"/>
    <w:rsid w:val="007E1C45"/>
    <w:rsid w:val="007E2291"/>
    <w:rsid w:val="007E3543"/>
    <w:rsid w:val="007E4BD2"/>
    <w:rsid w:val="007E62C8"/>
    <w:rsid w:val="007E63EA"/>
    <w:rsid w:val="007E718A"/>
    <w:rsid w:val="007F144E"/>
    <w:rsid w:val="007F21BA"/>
    <w:rsid w:val="007F5B2A"/>
    <w:rsid w:val="007F5D9C"/>
    <w:rsid w:val="007F70E2"/>
    <w:rsid w:val="008004AF"/>
    <w:rsid w:val="00801393"/>
    <w:rsid w:val="00802B73"/>
    <w:rsid w:val="00802F88"/>
    <w:rsid w:val="0080436B"/>
    <w:rsid w:val="00805A08"/>
    <w:rsid w:val="00807717"/>
    <w:rsid w:val="00807E59"/>
    <w:rsid w:val="00807EB7"/>
    <w:rsid w:val="00807F7F"/>
    <w:rsid w:val="008110A8"/>
    <w:rsid w:val="008111AD"/>
    <w:rsid w:val="0081293E"/>
    <w:rsid w:val="00812F17"/>
    <w:rsid w:val="00813469"/>
    <w:rsid w:val="008135CA"/>
    <w:rsid w:val="008139F9"/>
    <w:rsid w:val="00813E36"/>
    <w:rsid w:val="00814379"/>
    <w:rsid w:val="00814F35"/>
    <w:rsid w:val="00815465"/>
    <w:rsid w:val="00815E42"/>
    <w:rsid w:val="00816BFF"/>
    <w:rsid w:val="0081741C"/>
    <w:rsid w:val="0081744C"/>
    <w:rsid w:val="00817E9A"/>
    <w:rsid w:val="008207A0"/>
    <w:rsid w:val="00820B23"/>
    <w:rsid w:val="00820C31"/>
    <w:rsid w:val="00820E42"/>
    <w:rsid w:val="00821788"/>
    <w:rsid w:val="00821BA9"/>
    <w:rsid w:val="00824BDA"/>
    <w:rsid w:val="008251C2"/>
    <w:rsid w:val="008262E0"/>
    <w:rsid w:val="008264CE"/>
    <w:rsid w:val="00826631"/>
    <w:rsid w:val="00826CB5"/>
    <w:rsid w:val="008271A9"/>
    <w:rsid w:val="008306BD"/>
    <w:rsid w:val="00830F48"/>
    <w:rsid w:val="00831A80"/>
    <w:rsid w:val="00832E69"/>
    <w:rsid w:val="00833202"/>
    <w:rsid w:val="00833743"/>
    <w:rsid w:val="00833B46"/>
    <w:rsid w:val="008340A4"/>
    <w:rsid w:val="00834C26"/>
    <w:rsid w:val="00835B26"/>
    <w:rsid w:val="00840122"/>
    <w:rsid w:val="00840845"/>
    <w:rsid w:val="00840EEB"/>
    <w:rsid w:val="00841690"/>
    <w:rsid w:val="008418D4"/>
    <w:rsid w:val="008421F9"/>
    <w:rsid w:val="00842651"/>
    <w:rsid w:val="00843C0E"/>
    <w:rsid w:val="0084577F"/>
    <w:rsid w:val="008514BD"/>
    <w:rsid w:val="00852696"/>
    <w:rsid w:val="00852EC1"/>
    <w:rsid w:val="00856AD3"/>
    <w:rsid w:val="0085790B"/>
    <w:rsid w:val="00860444"/>
    <w:rsid w:val="00861602"/>
    <w:rsid w:val="0086302E"/>
    <w:rsid w:val="00863D54"/>
    <w:rsid w:val="00864CC3"/>
    <w:rsid w:val="00865C57"/>
    <w:rsid w:val="0086665E"/>
    <w:rsid w:val="008666EB"/>
    <w:rsid w:val="008706CE"/>
    <w:rsid w:val="0087135F"/>
    <w:rsid w:val="00871697"/>
    <w:rsid w:val="00871B9E"/>
    <w:rsid w:val="00872D94"/>
    <w:rsid w:val="00873A59"/>
    <w:rsid w:val="008756B0"/>
    <w:rsid w:val="00876ABE"/>
    <w:rsid w:val="00876E76"/>
    <w:rsid w:val="00880364"/>
    <w:rsid w:val="008808EE"/>
    <w:rsid w:val="0088101B"/>
    <w:rsid w:val="008819C0"/>
    <w:rsid w:val="008826B4"/>
    <w:rsid w:val="00882C3E"/>
    <w:rsid w:val="00884697"/>
    <w:rsid w:val="008849B6"/>
    <w:rsid w:val="008849EE"/>
    <w:rsid w:val="00886A3D"/>
    <w:rsid w:val="00886A63"/>
    <w:rsid w:val="008871E7"/>
    <w:rsid w:val="00890F1D"/>
    <w:rsid w:val="00891442"/>
    <w:rsid w:val="00891592"/>
    <w:rsid w:val="0089194C"/>
    <w:rsid w:val="00891E9E"/>
    <w:rsid w:val="008928B1"/>
    <w:rsid w:val="00893B4D"/>
    <w:rsid w:val="00893B58"/>
    <w:rsid w:val="0089622D"/>
    <w:rsid w:val="00896612"/>
    <w:rsid w:val="00897C73"/>
    <w:rsid w:val="008A0026"/>
    <w:rsid w:val="008A15B6"/>
    <w:rsid w:val="008A2E4E"/>
    <w:rsid w:val="008A2F68"/>
    <w:rsid w:val="008A33FF"/>
    <w:rsid w:val="008A34DC"/>
    <w:rsid w:val="008A3A68"/>
    <w:rsid w:val="008A40A3"/>
    <w:rsid w:val="008A4265"/>
    <w:rsid w:val="008A4303"/>
    <w:rsid w:val="008A445A"/>
    <w:rsid w:val="008A4654"/>
    <w:rsid w:val="008A56D4"/>
    <w:rsid w:val="008A57CF"/>
    <w:rsid w:val="008A5929"/>
    <w:rsid w:val="008A64E9"/>
    <w:rsid w:val="008A763B"/>
    <w:rsid w:val="008A7D56"/>
    <w:rsid w:val="008B1C5E"/>
    <w:rsid w:val="008B2185"/>
    <w:rsid w:val="008B3053"/>
    <w:rsid w:val="008B4410"/>
    <w:rsid w:val="008B4F4F"/>
    <w:rsid w:val="008B4FA6"/>
    <w:rsid w:val="008B50C7"/>
    <w:rsid w:val="008B5282"/>
    <w:rsid w:val="008B7C17"/>
    <w:rsid w:val="008C09BF"/>
    <w:rsid w:val="008C0B2B"/>
    <w:rsid w:val="008C1254"/>
    <w:rsid w:val="008C12B8"/>
    <w:rsid w:val="008C2196"/>
    <w:rsid w:val="008C23B8"/>
    <w:rsid w:val="008C2CC7"/>
    <w:rsid w:val="008C2D01"/>
    <w:rsid w:val="008C40E6"/>
    <w:rsid w:val="008C4327"/>
    <w:rsid w:val="008D0033"/>
    <w:rsid w:val="008D024D"/>
    <w:rsid w:val="008D0F7A"/>
    <w:rsid w:val="008D1320"/>
    <w:rsid w:val="008D14F7"/>
    <w:rsid w:val="008D1ACD"/>
    <w:rsid w:val="008D38F4"/>
    <w:rsid w:val="008D68E4"/>
    <w:rsid w:val="008D787B"/>
    <w:rsid w:val="008E02AC"/>
    <w:rsid w:val="008E040E"/>
    <w:rsid w:val="008E04D0"/>
    <w:rsid w:val="008E0506"/>
    <w:rsid w:val="008E0C30"/>
    <w:rsid w:val="008E0CFF"/>
    <w:rsid w:val="008E0E5A"/>
    <w:rsid w:val="008E30FA"/>
    <w:rsid w:val="008E3146"/>
    <w:rsid w:val="008E3A57"/>
    <w:rsid w:val="008E5100"/>
    <w:rsid w:val="008E5D6B"/>
    <w:rsid w:val="008E76F0"/>
    <w:rsid w:val="008F15E2"/>
    <w:rsid w:val="008F15FE"/>
    <w:rsid w:val="008F2D29"/>
    <w:rsid w:val="008F3830"/>
    <w:rsid w:val="008F4852"/>
    <w:rsid w:val="008F4B67"/>
    <w:rsid w:val="008F4F7C"/>
    <w:rsid w:val="008F5187"/>
    <w:rsid w:val="008F60D8"/>
    <w:rsid w:val="008F632D"/>
    <w:rsid w:val="008F6868"/>
    <w:rsid w:val="008F6A7D"/>
    <w:rsid w:val="00901A3E"/>
    <w:rsid w:val="00902727"/>
    <w:rsid w:val="0090312B"/>
    <w:rsid w:val="0090411B"/>
    <w:rsid w:val="00904AEF"/>
    <w:rsid w:val="00906690"/>
    <w:rsid w:val="00906B3E"/>
    <w:rsid w:val="009076FC"/>
    <w:rsid w:val="00907792"/>
    <w:rsid w:val="00907DF1"/>
    <w:rsid w:val="00910DAB"/>
    <w:rsid w:val="00912B30"/>
    <w:rsid w:val="00914541"/>
    <w:rsid w:val="0091553B"/>
    <w:rsid w:val="0091736D"/>
    <w:rsid w:val="009205D5"/>
    <w:rsid w:val="00920EC2"/>
    <w:rsid w:val="00921E9E"/>
    <w:rsid w:val="009225FF"/>
    <w:rsid w:val="0092435F"/>
    <w:rsid w:val="00925634"/>
    <w:rsid w:val="0092686F"/>
    <w:rsid w:val="009273FE"/>
    <w:rsid w:val="009274AC"/>
    <w:rsid w:val="0093037A"/>
    <w:rsid w:val="009322C5"/>
    <w:rsid w:val="00932B8A"/>
    <w:rsid w:val="00934AEF"/>
    <w:rsid w:val="00935BDE"/>
    <w:rsid w:val="0093741D"/>
    <w:rsid w:val="009375E6"/>
    <w:rsid w:val="00937857"/>
    <w:rsid w:val="009378A4"/>
    <w:rsid w:val="00937EA2"/>
    <w:rsid w:val="00940CA4"/>
    <w:rsid w:val="0094154D"/>
    <w:rsid w:val="00941DE1"/>
    <w:rsid w:val="0094292A"/>
    <w:rsid w:val="00942A5F"/>
    <w:rsid w:val="0094409A"/>
    <w:rsid w:val="009446D0"/>
    <w:rsid w:val="00946B64"/>
    <w:rsid w:val="0095155F"/>
    <w:rsid w:val="00952792"/>
    <w:rsid w:val="0095295B"/>
    <w:rsid w:val="00954429"/>
    <w:rsid w:val="00954B83"/>
    <w:rsid w:val="00955027"/>
    <w:rsid w:val="009563CE"/>
    <w:rsid w:val="009572C9"/>
    <w:rsid w:val="00957D47"/>
    <w:rsid w:val="00961093"/>
    <w:rsid w:val="00961504"/>
    <w:rsid w:val="00961E69"/>
    <w:rsid w:val="00962667"/>
    <w:rsid w:val="009630B1"/>
    <w:rsid w:val="00963990"/>
    <w:rsid w:val="00966068"/>
    <w:rsid w:val="009660FA"/>
    <w:rsid w:val="00966B63"/>
    <w:rsid w:val="00970907"/>
    <w:rsid w:val="0097128C"/>
    <w:rsid w:val="00972691"/>
    <w:rsid w:val="0097344C"/>
    <w:rsid w:val="00975191"/>
    <w:rsid w:val="00975F5E"/>
    <w:rsid w:val="00976328"/>
    <w:rsid w:val="0097680D"/>
    <w:rsid w:val="009823B2"/>
    <w:rsid w:val="00982438"/>
    <w:rsid w:val="009833F1"/>
    <w:rsid w:val="009838DD"/>
    <w:rsid w:val="0098404C"/>
    <w:rsid w:val="00985283"/>
    <w:rsid w:val="009855B9"/>
    <w:rsid w:val="00985A35"/>
    <w:rsid w:val="00985ED9"/>
    <w:rsid w:val="00990049"/>
    <w:rsid w:val="00990545"/>
    <w:rsid w:val="00991DB9"/>
    <w:rsid w:val="00992A45"/>
    <w:rsid w:val="00992BD2"/>
    <w:rsid w:val="00993C91"/>
    <w:rsid w:val="00994003"/>
    <w:rsid w:val="00994277"/>
    <w:rsid w:val="00995992"/>
    <w:rsid w:val="0099702A"/>
    <w:rsid w:val="00997603"/>
    <w:rsid w:val="00997C5A"/>
    <w:rsid w:val="009A015C"/>
    <w:rsid w:val="009A03E5"/>
    <w:rsid w:val="009A043C"/>
    <w:rsid w:val="009A0F3B"/>
    <w:rsid w:val="009A1AF8"/>
    <w:rsid w:val="009A1BB4"/>
    <w:rsid w:val="009A2628"/>
    <w:rsid w:val="009A3200"/>
    <w:rsid w:val="009A4649"/>
    <w:rsid w:val="009A50D1"/>
    <w:rsid w:val="009B0897"/>
    <w:rsid w:val="009B0AEE"/>
    <w:rsid w:val="009B14FC"/>
    <w:rsid w:val="009B2161"/>
    <w:rsid w:val="009B251A"/>
    <w:rsid w:val="009B2D38"/>
    <w:rsid w:val="009B400D"/>
    <w:rsid w:val="009B51FC"/>
    <w:rsid w:val="009B6A0C"/>
    <w:rsid w:val="009B74E3"/>
    <w:rsid w:val="009B76B9"/>
    <w:rsid w:val="009B7BD9"/>
    <w:rsid w:val="009C0512"/>
    <w:rsid w:val="009C0BB5"/>
    <w:rsid w:val="009C2B8A"/>
    <w:rsid w:val="009C4259"/>
    <w:rsid w:val="009C4BFE"/>
    <w:rsid w:val="009C5C7E"/>
    <w:rsid w:val="009C6B1C"/>
    <w:rsid w:val="009C709B"/>
    <w:rsid w:val="009C7990"/>
    <w:rsid w:val="009C7DD5"/>
    <w:rsid w:val="009C7E9E"/>
    <w:rsid w:val="009D04D8"/>
    <w:rsid w:val="009D0785"/>
    <w:rsid w:val="009D1FA4"/>
    <w:rsid w:val="009D2090"/>
    <w:rsid w:val="009D2D5F"/>
    <w:rsid w:val="009D34F1"/>
    <w:rsid w:val="009D41AD"/>
    <w:rsid w:val="009D4291"/>
    <w:rsid w:val="009D4591"/>
    <w:rsid w:val="009E0678"/>
    <w:rsid w:val="009E1091"/>
    <w:rsid w:val="009E1C85"/>
    <w:rsid w:val="009E227D"/>
    <w:rsid w:val="009E22B8"/>
    <w:rsid w:val="009E28F8"/>
    <w:rsid w:val="009E3805"/>
    <w:rsid w:val="009E454B"/>
    <w:rsid w:val="009E4655"/>
    <w:rsid w:val="009E5019"/>
    <w:rsid w:val="009E521B"/>
    <w:rsid w:val="009E5A93"/>
    <w:rsid w:val="009E677B"/>
    <w:rsid w:val="009E6876"/>
    <w:rsid w:val="009E6E5D"/>
    <w:rsid w:val="009E71AE"/>
    <w:rsid w:val="009E79CD"/>
    <w:rsid w:val="009F0231"/>
    <w:rsid w:val="009F1687"/>
    <w:rsid w:val="009F2CDA"/>
    <w:rsid w:val="009F2DAD"/>
    <w:rsid w:val="009F3051"/>
    <w:rsid w:val="009F30C1"/>
    <w:rsid w:val="009F4251"/>
    <w:rsid w:val="009F44F7"/>
    <w:rsid w:val="009F51B7"/>
    <w:rsid w:val="009F6575"/>
    <w:rsid w:val="009F7A0E"/>
    <w:rsid w:val="00A00234"/>
    <w:rsid w:val="00A035DF"/>
    <w:rsid w:val="00A03B85"/>
    <w:rsid w:val="00A03E23"/>
    <w:rsid w:val="00A03EB6"/>
    <w:rsid w:val="00A04F1B"/>
    <w:rsid w:val="00A0501B"/>
    <w:rsid w:val="00A06A83"/>
    <w:rsid w:val="00A073BD"/>
    <w:rsid w:val="00A11102"/>
    <w:rsid w:val="00A117DB"/>
    <w:rsid w:val="00A131F2"/>
    <w:rsid w:val="00A14433"/>
    <w:rsid w:val="00A14947"/>
    <w:rsid w:val="00A14F34"/>
    <w:rsid w:val="00A15A9F"/>
    <w:rsid w:val="00A20A8A"/>
    <w:rsid w:val="00A20DC8"/>
    <w:rsid w:val="00A20F38"/>
    <w:rsid w:val="00A2241A"/>
    <w:rsid w:val="00A23AAB"/>
    <w:rsid w:val="00A23C1C"/>
    <w:rsid w:val="00A264DE"/>
    <w:rsid w:val="00A26925"/>
    <w:rsid w:val="00A272B7"/>
    <w:rsid w:val="00A27EE2"/>
    <w:rsid w:val="00A30F3A"/>
    <w:rsid w:val="00A32A83"/>
    <w:rsid w:val="00A32D25"/>
    <w:rsid w:val="00A335A8"/>
    <w:rsid w:val="00A368DB"/>
    <w:rsid w:val="00A37076"/>
    <w:rsid w:val="00A37215"/>
    <w:rsid w:val="00A41603"/>
    <w:rsid w:val="00A423AA"/>
    <w:rsid w:val="00A425D9"/>
    <w:rsid w:val="00A4367C"/>
    <w:rsid w:val="00A43692"/>
    <w:rsid w:val="00A44F18"/>
    <w:rsid w:val="00A452C1"/>
    <w:rsid w:val="00A4575D"/>
    <w:rsid w:val="00A458B5"/>
    <w:rsid w:val="00A46953"/>
    <w:rsid w:val="00A469C6"/>
    <w:rsid w:val="00A4733B"/>
    <w:rsid w:val="00A509E0"/>
    <w:rsid w:val="00A50A98"/>
    <w:rsid w:val="00A51B55"/>
    <w:rsid w:val="00A53D2C"/>
    <w:rsid w:val="00A53DEB"/>
    <w:rsid w:val="00A53EC6"/>
    <w:rsid w:val="00A54560"/>
    <w:rsid w:val="00A55500"/>
    <w:rsid w:val="00A55927"/>
    <w:rsid w:val="00A55C0F"/>
    <w:rsid w:val="00A5776E"/>
    <w:rsid w:val="00A57B81"/>
    <w:rsid w:val="00A61D64"/>
    <w:rsid w:val="00A62A3D"/>
    <w:rsid w:val="00A641F5"/>
    <w:rsid w:val="00A64762"/>
    <w:rsid w:val="00A64FAD"/>
    <w:rsid w:val="00A6613E"/>
    <w:rsid w:val="00A663FB"/>
    <w:rsid w:val="00A67C7E"/>
    <w:rsid w:val="00A71E33"/>
    <w:rsid w:val="00A76682"/>
    <w:rsid w:val="00A767A4"/>
    <w:rsid w:val="00A77403"/>
    <w:rsid w:val="00A77C1C"/>
    <w:rsid w:val="00A81851"/>
    <w:rsid w:val="00A81E46"/>
    <w:rsid w:val="00A832B9"/>
    <w:rsid w:val="00A85148"/>
    <w:rsid w:val="00A866E4"/>
    <w:rsid w:val="00A8713F"/>
    <w:rsid w:val="00A879C6"/>
    <w:rsid w:val="00A87BE1"/>
    <w:rsid w:val="00A901BB"/>
    <w:rsid w:val="00A90BA1"/>
    <w:rsid w:val="00A90D31"/>
    <w:rsid w:val="00A9179C"/>
    <w:rsid w:val="00A92A56"/>
    <w:rsid w:val="00A938BC"/>
    <w:rsid w:val="00A93D77"/>
    <w:rsid w:val="00A946A1"/>
    <w:rsid w:val="00A97A9A"/>
    <w:rsid w:val="00AA01AF"/>
    <w:rsid w:val="00AA0671"/>
    <w:rsid w:val="00AA1557"/>
    <w:rsid w:val="00AA15D8"/>
    <w:rsid w:val="00AA2531"/>
    <w:rsid w:val="00AA2C37"/>
    <w:rsid w:val="00AA335C"/>
    <w:rsid w:val="00AA7D68"/>
    <w:rsid w:val="00AB15C7"/>
    <w:rsid w:val="00AB1E09"/>
    <w:rsid w:val="00AB3001"/>
    <w:rsid w:val="00AB3190"/>
    <w:rsid w:val="00AB3727"/>
    <w:rsid w:val="00AB37FC"/>
    <w:rsid w:val="00AB5330"/>
    <w:rsid w:val="00AB7193"/>
    <w:rsid w:val="00AB7382"/>
    <w:rsid w:val="00AB7747"/>
    <w:rsid w:val="00AC01E1"/>
    <w:rsid w:val="00AC14CE"/>
    <w:rsid w:val="00AC228C"/>
    <w:rsid w:val="00AC299F"/>
    <w:rsid w:val="00AC2A56"/>
    <w:rsid w:val="00AC2DE2"/>
    <w:rsid w:val="00AC4E93"/>
    <w:rsid w:val="00AC5400"/>
    <w:rsid w:val="00AC598B"/>
    <w:rsid w:val="00AC5BBD"/>
    <w:rsid w:val="00AC62FF"/>
    <w:rsid w:val="00AD0526"/>
    <w:rsid w:val="00AD055E"/>
    <w:rsid w:val="00AD0A53"/>
    <w:rsid w:val="00AD0B00"/>
    <w:rsid w:val="00AD22C9"/>
    <w:rsid w:val="00AD2A75"/>
    <w:rsid w:val="00AD37E1"/>
    <w:rsid w:val="00AD407C"/>
    <w:rsid w:val="00AD44A6"/>
    <w:rsid w:val="00AD47A7"/>
    <w:rsid w:val="00AD49A1"/>
    <w:rsid w:val="00AD6132"/>
    <w:rsid w:val="00AD73CD"/>
    <w:rsid w:val="00AE0103"/>
    <w:rsid w:val="00AE37D1"/>
    <w:rsid w:val="00AE3B01"/>
    <w:rsid w:val="00AE4F24"/>
    <w:rsid w:val="00AE53BB"/>
    <w:rsid w:val="00AE782B"/>
    <w:rsid w:val="00AF0CBF"/>
    <w:rsid w:val="00AF0D43"/>
    <w:rsid w:val="00AF1047"/>
    <w:rsid w:val="00AF119C"/>
    <w:rsid w:val="00AF1213"/>
    <w:rsid w:val="00AF1309"/>
    <w:rsid w:val="00AF257F"/>
    <w:rsid w:val="00AF33CF"/>
    <w:rsid w:val="00AF4BC2"/>
    <w:rsid w:val="00AF4D50"/>
    <w:rsid w:val="00AF5B82"/>
    <w:rsid w:val="00AF6179"/>
    <w:rsid w:val="00AF6A97"/>
    <w:rsid w:val="00AF6EA2"/>
    <w:rsid w:val="00AF7083"/>
    <w:rsid w:val="00AF768E"/>
    <w:rsid w:val="00B00613"/>
    <w:rsid w:val="00B00D64"/>
    <w:rsid w:val="00B00D83"/>
    <w:rsid w:val="00B02177"/>
    <w:rsid w:val="00B033DB"/>
    <w:rsid w:val="00B03D02"/>
    <w:rsid w:val="00B0576D"/>
    <w:rsid w:val="00B05D1B"/>
    <w:rsid w:val="00B0617C"/>
    <w:rsid w:val="00B06F89"/>
    <w:rsid w:val="00B07187"/>
    <w:rsid w:val="00B077F4"/>
    <w:rsid w:val="00B10C5F"/>
    <w:rsid w:val="00B112C7"/>
    <w:rsid w:val="00B12451"/>
    <w:rsid w:val="00B12491"/>
    <w:rsid w:val="00B1295A"/>
    <w:rsid w:val="00B13D60"/>
    <w:rsid w:val="00B1401A"/>
    <w:rsid w:val="00B1535F"/>
    <w:rsid w:val="00B175F5"/>
    <w:rsid w:val="00B17AF4"/>
    <w:rsid w:val="00B20720"/>
    <w:rsid w:val="00B20A45"/>
    <w:rsid w:val="00B21CAA"/>
    <w:rsid w:val="00B22C5C"/>
    <w:rsid w:val="00B2300C"/>
    <w:rsid w:val="00B24A4B"/>
    <w:rsid w:val="00B24F30"/>
    <w:rsid w:val="00B27747"/>
    <w:rsid w:val="00B27AD5"/>
    <w:rsid w:val="00B31009"/>
    <w:rsid w:val="00B31434"/>
    <w:rsid w:val="00B319FA"/>
    <w:rsid w:val="00B31ABF"/>
    <w:rsid w:val="00B31D90"/>
    <w:rsid w:val="00B31EA5"/>
    <w:rsid w:val="00B33511"/>
    <w:rsid w:val="00B33BE3"/>
    <w:rsid w:val="00B34F7C"/>
    <w:rsid w:val="00B364E6"/>
    <w:rsid w:val="00B40854"/>
    <w:rsid w:val="00B4173E"/>
    <w:rsid w:val="00B41C9B"/>
    <w:rsid w:val="00B41F64"/>
    <w:rsid w:val="00B41F6F"/>
    <w:rsid w:val="00B4526C"/>
    <w:rsid w:val="00B46B5C"/>
    <w:rsid w:val="00B47209"/>
    <w:rsid w:val="00B47E8E"/>
    <w:rsid w:val="00B51B19"/>
    <w:rsid w:val="00B52E1C"/>
    <w:rsid w:val="00B537F4"/>
    <w:rsid w:val="00B53B5D"/>
    <w:rsid w:val="00B53FEC"/>
    <w:rsid w:val="00B5592A"/>
    <w:rsid w:val="00B573D7"/>
    <w:rsid w:val="00B576A5"/>
    <w:rsid w:val="00B6055E"/>
    <w:rsid w:val="00B61B22"/>
    <w:rsid w:val="00B6317D"/>
    <w:rsid w:val="00B632E0"/>
    <w:rsid w:val="00B63546"/>
    <w:rsid w:val="00B63F19"/>
    <w:rsid w:val="00B659BD"/>
    <w:rsid w:val="00B669BF"/>
    <w:rsid w:val="00B67614"/>
    <w:rsid w:val="00B7004F"/>
    <w:rsid w:val="00B70CD6"/>
    <w:rsid w:val="00B70DD3"/>
    <w:rsid w:val="00B723DC"/>
    <w:rsid w:val="00B73EF6"/>
    <w:rsid w:val="00B7723F"/>
    <w:rsid w:val="00B80534"/>
    <w:rsid w:val="00B82E12"/>
    <w:rsid w:val="00B83935"/>
    <w:rsid w:val="00B839A8"/>
    <w:rsid w:val="00B83DBB"/>
    <w:rsid w:val="00B8433C"/>
    <w:rsid w:val="00B85B60"/>
    <w:rsid w:val="00B872F3"/>
    <w:rsid w:val="00B87491"/>
    <w:rsid w:val="00B908FF"/>
    <w:rsid w:val="00B90ABC"/>
    <w:rsid w:val="00B914DB"/>
    <w:rsid w:val="00B922D9"/>
    <w:rsid w:val="00B92479"/>
    <w:rsid w:val="00B95F88"/>
    <w:rsid w:val="00B96DA6"/>
    <w:rsid w:val="00B96EF3"/>
    <w:rsid w:val="00B97AB6"/>
    <w:rsid w:val="00B97B21"/>
    <w:rsid w:val="00BA29E9"/>
    <w:rsid w:val="00BA4571"/>
    <w:rsid w:val="00BA5A6C"/>
    <w:rsid w:val="00BA62CD"/>
    <w:rsid w:val="00BA6773"/>
    <w:rsid w:val="00BA68CB"/>
    <w:rsid w:val="00BA6B28"/>
    <w:rsid w:val="00BA7142"/>
    <w:rsid w:val="00BA719B"/>
    <w:rsid w:val="00BA7D9A"/>
    <w:rsid w:val="00BB0E1A"/>
    <w:rsid w:val="00BB237C"/>
    <w:rsid w:val="00BB3CC5"/>
    <w:rsid w:val="00BB41A3"/>
    <w:rsid w:val="00BB5E86"/>
    <w:rsid w:val="00BB7619"/>
    <w:rsid w:val="00BB7B09"/>
    <w:rsid w:val="00BB7C26"/>
    <w:rsid w:val="00BC32DC"/>
    <w:rsid w:val="00BC35B6"/>
    <w:rsid w:val="00BC68A2"/>
    <w:rsid w:val="00BC6ADD"/>
    <w:rsid w:val="00BC7B76"/>
    <w:rsid w:val="00BC7D6A"/>
    <w:rsid w:val="00BD1596"/>
    <w:rsid w:val="00BD1B51"/>
    <w:rsid w:val="00BD32BE"/>
    <w:rsid w:val="00BD4596"/>
    <w:rsid w:val="00BD673D"/>
    <w:rsid w:val="00BD72F9"/>
    <w:rsid w:val="00BD737F"/>
    <w:rsid w:val="00BE0C12"/>
    <w:rsid w:val="00BE116B"/>
    <w:rsid w:val="00BE12E2"/>
    <w:rsid w:val="00BE1405"/>
    <w:rsid w:val="00BE167D"/>
    <w:rsid w:val="00BE312D"/>
    <w:rsid w:val="00BE40D0"/>
    <w:rsid w:val="00BE4650"/>
    <w:rsid w:val="00BF0613"/>
    <w:rsid w:val="00BF11B2"/>
    <w:rsid w:val="00BF1787"/>
    <w:rsid w:val="00BF1C20"/>
    <w:rsid w:val="00BF3284"/>
    <w:rsid w:val="00BF3F8D"/>
    <w:rsid w:val="00BF4053"/>
    <w:rsid w:val="00BF6E0F"/>
    <w:rsid w:val="00BF7608"/>
    <w:rsid w:val="00BF7E75"/>
    <w:rsid w:val="00C0252C"/>
    <w:rsid w:val="00C02C8F"/>
    <w:rsid w:val="00C039DC"/>
    <w:rsid w:val="00C03B88"/>
    <w:rsid w:val="00C068BD"/>
    <w:rsid w:val="00C06A40"/>
    <w:rsid w:val="00C07E28"/>
    <w:rsid w:val="00C10578"/>
    <w:rsid w:val="00C135BC"/>
    <w:rsid w:val="00C13FB4"/>
    <w:rsid w:val="00C14009"/>
    <w:rsid w:val="00C14283"/>
    <w:rsid w:val="00C1487F"/>
    <w:rsid w:val="00C154DD"/>
    <w:rsid w:val="00C1593E"/>
    <w:rsid w:val="00C15C95"/>
    <w:rsid w:val="00C176CC"/>
    <w:rsid w:val="00C177B1"/>
    <w:rsid w:val="00C17D72"/>
    <w:rsid w:val="00C224B4"/>
    <w:rsid w:val="00C22686"/>
    <w:rsid w:val="00C230B4"/>
    <w:rsid w:val="00C236F6"/>
    <w:rsid w:val="00C2596A"/>
    <w:rsid w:val="00C25CDE"/>
    <w:rsid w:val="00C262F7"/>
    <w:rsid w:val="00C26859"/>
    <w:rsid w:val="00C26EE3"/>
    <w:rsid w:val="00C26F94"/>
    <w:rsid w:val="00C2744C"/>
    <w:rsid w:val="00C27537"/>
    <w:rsid w:val="00C328FE"/>
    <w:rsid w:val="00C32D48"/>
    <w:rsid w:val="00C33507"/>
    <w:rsid w:val="00C34F66"/>
    <w:rsid w:val="00C366D5"/>
    <w:rsid w:val="00C36D90"/>
    <w:rsid w:val="00C37627"/>
    <w:rsid w:val="00C407A7"/>
    <w:rsid w:val="00C408E6"/>
    <w:rsid w:val="00C41C9D"/>
    <w:rsid w:val="00C43392"/>
    <w:rsid w:val="00C438D6"/>
    <w:rsid w:val="00C4409D"/>
    <w:rsid w:val="00C44813"/>
    <w:rsid w:val="00C44964"/>
    <w:rsid w:val="00C44E72"/>
    <w:rsid w:val="00C45A06"/>
    <w:rsid w:val="00C45BD1"/>
    <w:rsid w:val="00C45D95"/>
    <w:rsid w:val="00C45DFF"/>
    <w:rsid w:val="00C46475"/>
    <w:rsid w:val="00C47970"/>
    <w:rsid w:val="00C47CBB"/>
    <w:rsid w:val="00C47E5B"/>
    <w:rsid w:val="00C500D7"/>
    <w:rsid w:val="00C5167D"/>
    <w:rsid w:val="00C51C82"/>
    <w:rsid w:val="00C522D9"/>
    <w:rsid w:val="00C52E6A"/>
    <w:rsid w:val="00C53D0E"/>
    <w:rsid w:val="00C547B5"/>
    <w:rsid w:val="00C54846"/>
    <w:rsid w:val="00C55CF2"/>
    <w:rsid w:val="00C56203"/>
    <w:rsid w:val="00C567F5"/>
    <w:rsid w:val="00C5720E"/>
    <w:rsid w:val="00C57701"/>
    <w:rsid w:val="00C57A7D"/>
    <w:rsid w:val="00C613C2"/>
    <w:rsid w:val="00C61E4B"/>
    <w:rsid w:val="00C62BB5"/>
    <w:rsid w:val="00C63A06"/>
    <w:rsid w:val="00C64BFF"/>
    <w:rsid w:val="00C64E09"/>
    <w:rsid w:val="00C65B17"/>
    <w:rsid w:val="00C66121"/>
    <w:rsid w:val="00C667C7"/>
    <w:rsid w:val="00C67D24"/>
    <w:rsid w:val="00C704E9"/>
    <w:rsid w:val="00C70551"/>
    <w:rsid w:val="00C72785"/>
    <w:rsid w:val="00C7282A"/>
    <w:rsid w:val="00C7331D"/>
    <w:rsid w:val="00C73888"/>
    <w:rsid w:val="00C745B2"/>
    <w:rsid w:val="00C75650"/>
    <w:rsid w:val="00C763C9"/>
    <w:rsid w:val="00C76892"/>
    <w:rsid w:val="00C76CE3"/>
    <w:rsid w:val="00C80057"/>
    <w:rsid w:val="00C80323"/>
    <w:rsid w:val="00C81D4F"/>
    <w:rsid w:val="00C82232"/>
    <w:rsid w:val="00C82913"/>
    <w:rsid w:val="00C82EAA"/>
    <w:rsid w:val="00C83314"/>
    <w:rsid w:val="00C84BF1"/>
    <w:rsid w:val="00C84D35"/>
    <w:rsid w:val="00C8542C"/>
    <w:rsid w:val="00C85C41"/>
    <w:rsid w:val="00C8683C"/>
    <w:rsid w:val="00C91AFE"/>
    <w:rsid w:val="00C92F6E"/>
    <w:rsid w:val="00C9330A"/>
    <w:rsid w:val="00C9596C"/>
    <w:rsid w:val="00C9673A"/>
    <w:rsid w:val="00C970BE"/>
    <w:rsid w:val="00C972B1"/>
    <w:rsid w:val="00CA1A1D"/>
    <w:rsid w:val="00CA1FE9"/>
    <w:rsid w:val="00CA2CCE"/>
    <w:rsid w:val="00CA43FD"/>
    <w:rsid w:val="00CA52E9"/>
    <w:rsid w:val="00CA59B9"/>
    <w:rsid w:val="00CA6540"/>
    <w:rsid w:val="00CA6BE5"/>
    <w:rsid w:val="00CA6FC8"/>
    <w:rsid w:val="00CA79E9"/>
    <w:rsid w:val="00CA7C34"/>
    <w:rsid w:val="00CA7EF8"/>
    <w:rsid w:val="00CB0057"/>
    <w:rsid w:val="00CB02BD"/>
    <w:rsid w:val="00CB0DB8"/>
    <w:rsid w:val="00CB1886"/>
    <w:rsid w:val="00CB3C4B"/>
    <w:rsid w:val="00CB401E"/>
    <w:rsid w:val="00CB5B5C"/>
    <w:rsid w:val="00CC177F"/>
    <w:rsid w:val="00CC1F33"/>
    <w:rsid w:val="00CC324F"/>
    <w:rsid w:val="00CC35F5"/>
    <w:rsid w:val="00CC489B"/>
    <w:rsid w:val="00CC7752"/>
    <w:rsid w:val="00CC7B47"/>
    <w:rsid w:val="00CD04DA"/>
    <w:rsid w:val="00CD0A53"/>
    <w:rsid w:val="00CD2BCD"/>
    <w:rsid w:val="00CD3553"/>
    <w:rsid w:val="00CD3A4C"/>
    <w:rsid w:val="00CD3D6D"/>
    <w:rsid w:val="00CD48CA"/>
    <w:rsid w:val="00CD517D"/>
    <w:rsid w:val="00CD5BBA"/>
    <w:rsid w:val="00CD64CA"/>
    <w:rsid w:val="00CD75BD"/>
    <w:rsid w:val="00CD79F2"/>
    <w:rsid w:val="00CE10E9"/>
    <w:rsid w:val="00CE1170"/>
    <w:rsid w:val="00CE2910"/>
    <w:rsid w:val="00CE2EBF"/>
    <w:rsid w:val="00CE37D2"/>
    <w:rsid w:val="00CE4499"/>
    <w:rsid w:val="00CE5393"/>
    <w:rsid w:val="00CE5AC1"/>
    <w:rsid w:val="00CE61C8"/>
    <w:rsid w:val="00CF2057"/>
    <w:rsid w:val="00CF2978"/>
    <w:rsid w:val="00CF2E41"/>
    <w:rsid w:val="00CF350B"/>
    <w:rsid w:val="00CF36BE"/>
    <w:rsid w:val="00CF3D25"/>
    <w:rsid w:val="00CF3E49"/>
    <w:rsid w:val="00CF6000"/>
    <w:rsid w:val="00CF6136"/>
    <w:rsid w:val="00CF72C6"/>
    <w:rsid w:val="00CF7B66"/>
    <w:rsid w:val="00CF7BCD"/>
    <w:rsid w:val="00D0009F"/>
    <w:rsid w:val="00D003F3"/>
    <w:rsid w:val="00D01D27"/>
    <w:rsid w:val="00D02DE2"/>
    <w:rsid w:val="00D032F8"/>
    <w:rsid w:val="00D0364F"/>
    <w:rsid w:val="00D04E55"/>
    <w:rsid w:val="00D05B22"/>
    <w:rsid w:val="00D06635"/>
    <w:rsid w:val="00D06834"/>
    <w:rsid w:val="00D0734D"/>
    <w:rsid w:val="00D10468"/>
    <w:rsid w:val="00D11B12"/>
    <w:rsid w:val="00D11E65"/>
    <w:rsid w:val="00D1315B"/>
    <w:rsid w:val="00D1425A"/>
    <w:rsid w:val="00D162DE"/>
    <w:rsid w:val="00D17C1A"/>
    <w:rsid w:val="00D20171"/>
    <w:rsid w:val="00D20356"/>
    <w:rsid w:val="00D20652"/>
    <w:rsid w:val="00D209E6"/>
    <w:rsid w:val="00D2160E"/>
    <w:rsid w:val="00D21A0E"/>
    <w:rsid w:val="00D221A4"/>
    <w:rsid w:val="00D224FB"/>
    <w:rsid w:val="00D22508"/>
    <w:rsid w:val="00D23A02"/>
    <w:rsid w:val="00D243AF"/>
    <w:rsid w:val="00D244F4"/>
    <w:rsid w:val="00D26207"/>
    <w:rsid w:val="00D26D6E"/>
    <w:rsid w:val="00D308ED"/>
    <w:rsid w:val="00D30AA6"/>
    <w:rsid w:val="00D30D6E"/>
    <w:rsid w:val="00D31DB2"/>
    <w:rsid w:val="00D335BA"/>
    <w:rsid w:val="00D35C30"/>
    <w:rsid w:val="00D35EE4"/>
    <w:rsid w:val="00D3625C"/>
    <w:rsid w:val="00D36CEE"/>
    <w:rsid w:val="00D36D86"/>
    <w:rsid w:val="00D37064"/>
    <w:rsid w:val="00D3768C"/>
    <w:rsid w:val="00D40010"/>
    <w:rsid w:val="00D41536"/>
    <w:rsid w:val="00D41A13"/>
    <w:rsid w:val="00D41D93"/>
    <w:rsid w:val="00D420DA"/>
    <w:rsid w:val="00D427CB"/>
    <w:rsid w:val="00D428AA"/>
    <w:rsid w:val="00D42D74"/>
    <w:rsid w:val="00D43B73"/>
    <w:rsid w:val="00D44857"/>
    <w:rsid w:val="00D44F92"/>
    <w:rsid w:val="00D45524"/>
    <w:rsid w:val="00D45A4E"/>
    <w:rsid w:val="00D45BF5"/>
    <w:rsid w:val="00D466C7"/>
    <w:rsid w:val="00D46E60"/>
    <w:rsid w:val="00D501D1"/>
    <w:rsid w:val="00D5037A"/>
    <w:rsid w:val="00D50A29"/>
    <w:rsid w:val="00D50A34"/>
    <w:rsid w:val="00D50D26"/>
    <w:rsid w:val="00D52550"/>
    <w:rsid w:val="00D52644"/>
    <w:rsid w:val="00D5270F"/>
    <w:rsid w:val="00D533F4"/>
    <w:rsid w:val="00D536B6"/>
    <w:rsid w:val="00D53EFA"/>
    <w:rsid w:val="00D53F93"/>
    <w:rsid w:val="00D54580"/>
    <w:rsid w:val="00D54A49"/>
    <w:rsid w:val="00D55047"/>
    <w:rsid w:val="00D5545A"/>
    <w:rsid w:val="00D60D68"/>
    <w:rsid w:val="00D61288"/>
    <w:rsid w:val="00D617C6"/>
    <w:rsid w:val="00D618E4"/>
    <w:rsid w:val="00D627C7"/>
    <w:rsid w:val="00D628A2"/>
    <w:rsid w:val="00D62EEE"/>
    <w:rsid w:val="00D63339"/>
    <w:rsid w:val="00D63C78"/>
    <w:rsid w:val="00D64ED8"/>
    <w:rsid w:val="00D66796"/>
    <w:rsid w:val="00D66AF9"/>
    <w:rsid w:val="00D66B93"/>
    <w:rsid w:val="00D679D9"/>
    <w:rsid w:val="00D67E9B"/>
    <w:rsid w:val="00D70033"/>
    <w:rsid w:val="00D705B8"/>
    <w:rsid w:val="00D72AF6"/>
    <w:rsid w:val="00D73189"/>
    <w:rsid w:val="00D74170"/>
    <w:rsid w:val="00D74377"/>
    <w:rsid w:val="00D75232"/>
    <w:rsid w:val="00D7738D"/>
    <w:rsid w:val="00D7761F"/>
    <w:rsid w:val="00D77E14"/>
    <w:rsid w:val="00D82D15"/>
    <w:rsid w:val="00D83511"/>
    <w:rsid w:val="00D83A39"/>
    <w:rsid w:val="00D8409E"/>
    <w:rsid w:val="00D85559"/>
    <w:rsid w:val="00D85723"/>
    <w:rsid w:val="00D85B01"/>
    <w:rsid w:val="00D86031"/>
    <w:rsid w:val="00D87080"/>
    <w:rsid w:val="00D87DC6"/>
    <w:rsid w:val="00D91A7D"/>
    <w:rsid w:val="00D91D9C"/>
    <w:rsid w:val="00D91DB5"/>
    <w:rsid w:val="00D9253A"/>
    <w:rsid w:val="00D93C80"/>
    <w:rsid w:val="00D94A7C"/>
    <w:rsid w:val="00D95896"/>
    <w:rsid w:val="00D95EDE"/>
    <w:rsid w:val="00D960F9"/>
    <w:rsid w:val="00D963C0"/>
    <w:rsid w:val="00D971EA"/>
    <w:rsid w:val="00D97F96"/>
    <w:rsid w:val="00DA0635"/>
    <w:rsid w:val="00DA1836"/>
    <w:rsid w:val="00DA1B76"/>
    <w:rsid w:val="00DA2938"/>
    <w:rsid w:val="00DA44A4"/>
    <w:rsid w:val="00DA7382"/>
    <w:rsid w:val="00DA74F5"/>
    <w:rsid w:val="00DB2983"/>
    <w:rsid w:val="00DB2D8B"/>
    <w:rsid w:val="00DB2F6B"/>
    <w:rsid w:val="00DB4C68"/>
    <w:rsid w:val="00DB58C8"/>
    <w:rsid w:val="00DB5E29"/>
    <w:rsid w:val="00DB62D7"/>
    <w:rsid w:val="00DB66ED"/>
    <w:rsid w:val="00DB755F"/>
    <w:rsid w:val="00DC00F3"/>
    <w:rsid w:val="00DC1257"/>
    <w:rsid w:val="00DC12AB"/>
    <w:rsid w:val="00DC2D70"/>
    <w:rsid w:val="00DC355B"/>
    <w:rsid w:val="00DC3AE6"/>
    <w:rsid w:val="00DC3B69"/>
    <w:rsid w:val="00DC3C94"/>
    <w:rsid w:val="00DC3DC0"/>
    <w:rsid w:val="00DC58ED"/>
    <w:rsid w:val="00DC5B2B"/>
    <w:rsid w:val="00DC627F"/>
    <w:rsid w:val="00DC695D"/>
    <w:rsid w:val="00DC760F"/>
    <w:rsid w:val="00DD07DB"/>
    <w:rsid w:val="00DD1740"/>
    <w:rsid w:val="00DD250E"/>
    <w:rsid w:val="00DD318D"/>
    <w:rsid w:val="00DD33ED"/>
    <w:rsid w:val="00DD39D3"/>
    <w:rsid w:val="00DD4031"/>
    <w:rsid w:val="00DD4925"/>
    <w:rsid w:val="00DD4E09"/>
    <w:rsid w:val="00DD5887"/>
    <w:rsid w:val="00DD6377"/>
    <w:rsid w:val="00DD6401"/>
    <w:rsid w:val="00DD6506"/>
    <w:rsid w:val="00DD723A"/>
    <w:rsid w:val="00DE3549"/>
    <w:rsid w:val="00DE3927"/>
    <w:rsid w:val="00DE41AE"/>
    <w:rsid w:val="00DE46F0"/>
    <w:rsid w:val="00DE683F"/>
    <w:rsid w:val="00DE6B60"/>
    <w:rsid w:val="00DE6DA9"/>
    <w:rsid w:val="00DE6DC1"/>
    <w:rsid w:val="00DE7EC1"/>
    <w:rsid w:val="00DF0F4F"/>
    <w:rsid w:val="00DF141D"/>
    <w:rsid w:val="00DF2E12"/>
    <w:rsid w:val="00DF2EF9"/>
    <w:rsid w:val="00DF514A"/>
    <w:rsid w:val="00DF5C53"/>
    <w:rsid w:val="00DF6690"/>
    <w:rsid w:val="00DF6804"/>
    <w:rsid w:val="00DF6D04"/>
    <w:rsid w:val="00DF7F0C"/>
    <w:rsid w:val="00E00086"/>
    <w:rsid w:val="00E0010A"/>
    <w:rsid w:val="00E00CF7"/>
    <w:rsid w:val="00E02430"/>
    <w:rsid w:val="00E02A0B"/>
    <w:rsid w:val="00E03341"/>
    <w:rsid w:val="00E0358D"/>
    <w:rsid w:val="00E037E5"/>
    <w:rsid w:val="00E0399A"/>
    <w:rsid w:val="00E04323"/>
    <w:rsid w:val="00E048C4"/>
    <w:rsid w:val="00E04D8D"/>
    <w:rsid w:val="00E054AA"/>
    <w:rsid w:val="00E05C5D"/>
    <w:rsid w:val="00E070A2"/>
    <w:rsid w:val="00E1018F"/>
    <w:rsid w:val="00E13E13"/>
    <w:rsid w:val="00E1451B"/>
    <w:rsid w:val="00E14740"/>
    <w:rsid w:val="00E14873"/>
    <w:rsid w:val="00E1545E"/>
    <w:rsid w:val="00E17BAC"/>
    <w:rsid w:val="00E17F83"/>
    <w:rsid w:val="00E20719"/>
    <w:rsid w:val="00E2272F"/>
    <w:rsid w:val="00E242B1"/>
    <w:rsid w:val="00E24A9C"/>
    <w:rsid w:val="00E24DC7"/>
    <w:rsid w:val="00E259CE"/>
    <w:rsid w:val="00E26347"/>
    <w:rsid w:val="00E2656A"/>
    <w:rsid w:val="00E27FD6"/>
    <w:rsid w:val="00E3015D"/>
    <w:rsid w:val="00E3292D"/>
    <w:rsid w:val="00E32A16"/>
    <w:rsid w:val="00E32F02"/>
    <w:rsid w:val="00E412D0"/>
    <w:rsid w:val="00E421AC"/>
    <w:rsid w:val="00E42FA9"/>
    <w:rsid w:val="00E43E0F"/>
    <w:rsid w:val="00E443E2"/>
    <w:rsid w:val="00E44D05"/>
    <w:rsid w:val="00E45D66"/>
    <w:rsid w:val="00E46186"/>
    <w:rsid w:val="00E46AF6"/>
    <w:rsid w:val="00E46F02"/>
    <w:rsid w:val="00E50628"/>
    <w:rsid w:val="00E50F5C"/>
    <w:rsid w:val="00E5146F"/>
    <w:rsid w:val="00E514B9"/>
    <w:rsid w:val="00E52E8D"/>
    <w:rsid w:val="00E53263"/>
    <w:rsid w:val="00E5348A"/>
    <w:rsid w:val="00E56322"/>
    <w:rsid w:val="00E60218"/>
    <w:rsid w:val="00E60611"/>
    <w:rsid w:val="00E60982"/>
    <w:rsid w:val="00E61268"/>
    <w:rsid w:val="00E61D56"/>
    <w:rsid w:val="00E61E22"/>
    <w:rsid w:val="00E626FE"/>
    <w:rsid w:val="00E62712"/>
    <w:rsid w:val="00E62C62"/>
    <w:rsid w:val="00E645B2"/>
    <w:rsid w:val="00E654C1"/>
    <w:rsid w:val="00E65C37"/>
    <w:rsid w:val="00E65D97"/>
    <w:rsid w:val="00E66CAB"/>
    <w:rsid w:val="00E66D47"/>
    <w:rsid w:val="00E6743B"/>
    <w:rsid w:val="00E6777A"/>
    <w:rsid w:val="00E7049D"/>
    <w:rsid w:val="00E72811"/>
    <w:rsid w:val="00E72A5A"/>
    <w:rsid w:val="00E73354"/>
    <w:rsid w:val="00E742B3"/>
    <w:rsid w:val="00E7443E"/>
    <w:rsid w:val="00E7675A"/>
    <w:rsid w:val="00E771F4"/>
    <w:rsid w:val="00E77666"/>
    <w:rsid w:val="00E776FB"/>
    <w:rsid w:val="00E80328"/>
    <w:rsid w:val="00E8040E"/>
    <w:rsid w:val="00E80AB6"/>
    <w:rsid w:val="00E81637"/>
    <w:rsid w:val="00E82B30"/>
    <w:rsid w:val="00E83437"/>
    <w:rsid w:val="00E83BE4"/>
    <w:rsid w:val="00E83CEB"/>
    <w:rsid w:val="00E83D52"/>
    <w:rsid w:val="00E848E3"/>
    <w:rsid w:val="00E84FA7"/>
    <w:rsid w:val="00E868EE"/>
    <w:rsid w:val="00E869BA"/>
    <w:rsid w:val="00E911F0"/>
    <w:rsid w:val="00E9242D"/>
    <w:rsid w:val="00E9243A"/>
    <w:rsid w:val="00E924E7"/>
    <w:rsid w:val="00E9278C"/>
    <w:rsid w:val="00E93378"/>
    <w:rsid w:val="00E96A6A"/>
    <w:rsid w:val="00E97590"/>
    <w:rsid w:val="00EA11C5"/>
    <w:rsid w:val="00EA15DF"/>
    <w:rsid w:val="00EA39F8"/>
    <w:rsid w:val="00EA4195"/>
    <w:rsid w:val="00EA6BCB"/>
    <w:rsid w:val="00EA6C02"/>
    <w:rsid w:val="00EB07A7"/>
    <w:rsid w:val="00EB0994"/>
    <w:rsid w:val="00EB1DFC"/>
    <w:rsid w:val="00EB208D"/>
    <w:rsid w:val="00EB3E4F"/>
    <w:rsid w:val="00EB4787"/>
    <w:rsid w:val="00EB5255"/>
    <w:rsid w:val="00EB5C47"/>
    <w:rsid w:val="00EB6DD2"/>
    <w:rsid w:val="00EB6ED3"/>
    <w:rsid w:val="00EC0BD8"/>
    <w:rsid w:val="00EC1731"/>
    <w:rsid w:val="00EC19EE"/>
    <w:rsid w:val="00EC1A8A"/>
    <w:rsid w:val="00EC1E75"/>
    <w:rsid w:val="00EC3A0B"/>
    <w:rsid w:val="00EC3B5B"/>
    <w:rsid w:val="00EC4484"/>
    <w:rsid w:val="00EC45EA"/>
    <w:rsid w:val="00EC4E20"/>
    <w:rsid w:val="00EC71D9"/>
    <w:rsid w:val="00EC72E1"/>
    <w:rsid w:val="00ED0639"/>
    <w:rsid w:val="00ED083E"/>
    <w:rsid w:val="00ED16C5"/>
    <w:rsid w:val="00ED1AC8"/>
    <w:rsid w:val="00ED2486"/>
    <w:rsid w:val="00ED3711"/>
    <w:rsid w:val="00ED39DE"/>
    <w:rsid w:val="00ED55EA"/>
    <w:rsid w:val="00ED63C6"/>
    <w:rsid w:val="00ED6571"/>
    <w:rsid w:val="00ED703B"/>
    <w:rsid w:val="00ED722C"/>
    <w:rsid w:val="00EE1229"/>
    <w:rsid w:val="00EE27B7"/>
    <w:rsid w:val="00EE2CDB"/>
    <w:rsid w:val="00EE412F"/>
    <w:rsid w:val="00EE62C8"/>
    <w:rsid w:val="00EE6C22"/>
    <w:rsid w:val="00EF0297"/>
    <w:rsid w:val="00EF152E"/>
    <w:rsid w:val="00EF24F8"/>
    <w:rsid w:val="00EF30B5"/>
    <w:rsid w:val="00EF4755"/>
    <w:rsid w:val="00EF49D5"/>
    <w:rsid w:val="00EF4ECB"/>
    <w:rsid w:val="00EF61A3"/>
    <w:rsid w:val="00EF7135"/>
    <w:rsid w:val="00EF77FC"/>
    <w:rsid w:val="00F01E72"/>
    <w:rsid w:val="00F01FDD"/>
    <w:rsid w:val="00F027DB"/>
    <w:rsid w:val="00F0389D"/>
    <w:rsid w:val="00F046B4"/>
    <w:rsid w:val="00F0624C"/>
    <w:rsid w:val="00F1156C"/>
    <w:rsid w:val="00F11AE3"/>
    <w:rsid w:val="00F129B0"/>
    <w:rsid w:val="00F132C7"/>
    <w:rsid w:val="00F1368B"/>
    <w:rsid w:val="00F14662"/>
    <w:rsid w:val="00F14A0F"/>
    <w:rsid w:val="00F14A7A"/>
    <w:rsid w:val="00F1649A"/>
    <w:rsid w:val="00F16769"/>
    <w:rsid w:val="00F16ACB"/>
    <w:rsid w:val="00F20B3F"/>
    <w:rsid w:val="00F219D0"/>
    <w:rsid w:val="00F21A74"/>
    <w:rsid w:val="00F22985"/>
    <w:rsid w:val="00F22B31"/>
    <w:rsid w:val="00F237FC"/>
    <w:rsid w:val="00F25435"/>
    <w:rsid w:val="00F3150E"/>
    <w:rsid w:val="00F32519"/>
    <w:rsid w:val="00F3383E"/>
    <w:rsid w:val="00F3643C"/>
    <w:rsid w:val="00F37E55"/>
    <w:rsid w:val="00F411E0"/>
    <w:rsid w:val="00F4161F"/>
    <w:rsid w:val="00F41762"/>
    <w:rsid w:val="00F41DAF"/>
    <w:rsid w:val="00F4313C"/>
    <w:rsid w:val="00F45B69"/>
    <w:rsid w:val="00F45EE5"/>
    <w:rsid w:val="00F465A7"/>
    <w:rsid w:val="00F47060"/>
    <w:rsid w:val="00F505B6"/>
    <w:rsid w:val="00F50B7C"/>
    <w:rsid w:val="00F51058"/>
    <w:rsid w:val="00F531BF"/>
    <w:rsid w:val="00F53B45"/>
    <w:rsid w:val="00F53E12"/>
    <w:rsid w:val="00F5464A"/>
    <w:rsid w:val="00F54734"/>
    <w:rsid w:val="00F54A76"/>
    <w:rsid w:val="00F54ACD"/>
    <w:rsid w:val="00F550E6"/>
    <w:rsid w:val="00F56756"/>
    <w:rsid w:val="00F57307"/>
    <w:rsid w:val="00F5777E"/>
    <w:rsid w:val="00F62EB8"/>
    <w:rsid w:val="00F637B7"/>
    <w:rsid w:val="00F65A66"/>
    <w:rsid w:val="00F660E1"/>
    <w:rsid w:val="00F6628B"/>
    <w:rsid w:val="00F664C1"/>
    <w:rsid w:val="00F66AA8"/>
    <w:rsid w:val="00F671F9"/>
    <w:rsid w:val="00F708F2"/>
    <w:rsid w:val="00F70ED7"/>
    <w:rsid w:val="00F71122"/>
    <w:rsid w:val="00F7260C"/>
    <w:rsid w:val="00F7376E"/>
    <w:rsid w:val="00F7421A"/>
    <w:rsid w:val="00F74345"/>
    <w:rsid w:val="00F74891"/>
    <w:rsid w:val="00F74DAA"/>
    <w:rsid w:val="00F75E47"/>
    <w:rsid w:val="00F80A0A"/>
    <w:rsid w:val="00F81BF6"/>
    <w:rsid w:val="00F82940"/>
    <w:rsid w:val="00F82B19"/>
    <w:rsid w:val="00F83404"/>
    <w:rsid w:val="00F836B5"/>
    <w:rsid w:val="00F844DE"/>
    <w:rsid w:val="00F85B95"/>
    <w:rsid w:val="00F865A0"/>
    <w:rsid w:val="00F8747C"/>
    <w:rsid w:val="00F90E5F"/>
    <w:rsid w:val="00F9212D"/>
    <w:rsid w:val="00F9335F"/>
    <w:rsid w:val="00F95395"/>
    <w:rsid w:val="00F95AAB"/>
    <w:rsid w:val="00F95E4F"/>
    <w:rsid w:val="00F965DA"/>
    <w:rsid w:val="00F96EF1"/>
    <w:rsid w:val="00FA0817"/>
    <w:rsid w:val="00FA406A"/>
    <w:rsid w:val="00FB0CD6"/>
    <w:rsid w:val="00FB10BC"/>
    <w:rsid w:val="00FB1F30"/>
    <w:rsid w:val="00FB1FAD"/>
    <w:rsid w:val="00FB209C"/>
    <w:rsid w:val="00FB3CAE"/>
    <w:rsid w:val="00FB503A"/>
    <w:rsid w:val="00FB515F"/>
    <w:rsid w:val="00FB516C"/>
    <w:rsid w:val="00FB53DF"/>
    <w:rsid w:val="00FB6E5B"/>
    <w:rsid w:val="00FC40E8"/>
    <w:rsid w:val="00FC48A2"/>
    <w:rsid w:val="00FC51F4"/>
    <w:rsid w:val="00FC62F9"/>
    <w:rsid w:val="00FC6433"/>
    <w:rsid w:val="00FC6BC1"/>
    <w:rsid w:val="00FD0236"/>
    <w:rsid w:val="00FD0D92"/>
    <w:rsid w:val="00FD18F4"/>
    <w:rsid w:val="00FD356B"/>
    <w:rsid w:val="00FD3976"/>
    <w:rsid w:val="00FD54B9"/>
    <w:rsid w:val="00FD54DB"/>
    <w:rsid w:val="00FD619F"/>
    <w:rsid w:val="00FD64BB"/>
    <w:rsid w:val="00FD71AD"/>
    <w:rsid w:val="00FD7A51"/>
    <w:rsid w:val="00FE04C3"/>
    <w:rsid w:val="00FE293D"/>
    <w:rsid w:val="00FE3176"/>
    <w:rsid w:val="00FE423C"/>
    <w:rsid w:val="00FE5196"/>
    <w:rsid w:val="00FE5BFB"/>
    <w:rsid w:val="00FE65EF"/>
    <w:rsid w:val="00FE6C5A"/>
    <w:rsid w:val="00FE7C0F"/>
    <w:rsid w:val="00FF0010"/>
    <w:rsid w:val="00FF3929"/>
    <w:rsid w:val="00FF3EE2"/>
    <w:rsid w:val="00FF5506"/>
    <w:rsid w:val="00FF5B8E"/>
    <w:rsid w:val="00FF6C48"/>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ECA6959"/>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7FB21E8"/>
    <w:rsid w:val="38B302F9"/>
    <w:rsid w:val="38F12CD3"/>
    <w:rsid w:val="38F94775"/>
    <w:rsid w:val="392971ED"/>
    <w:rsid w:val="39325651"/>
    <w:rsid w:val="3A872856"/>
    <w:rsid w:val="3B3763D1"/>
    <w:rsid w:val="3C2F6E1E"/>
    <w:rsid w:val="3C4F64BA"/>
    <w:rsid w:val="3CDA245A"/>
    <w:rsid w:val="3D1E06B7"/>
    <w:rsid w:val="3EDA0523"/>
    <w:rsid w:val="3FCA9000"/>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BD8014"/>
    <w:rsid w:val="7DCD56F2"/>
    <w:rsid w:val="7F001CE7"/>
    <w:rsid w:val="7FE47E50"/>
    <w:rsid w:val="E7F71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iPriority="0" w:name="Note Heading" w:locked="1"/>
    <w:lsdException w:uiPriority="0" w:name="Body Text 2" w:locked="1"/>
    <w:lsdException w:uiPriority="0" w:name="Body Text 3" w:locked="1"/>
    <w:lsdException w:qFormat="1" w:unhideWhenUsed="0" w:uiPriority="99" w:semiHidden="0" w:name="Body Text Indent 2" w:locked="1"/>
    <w:lsdException w:uiPriority="0" w:name="Body Text Indent 3" w:locked="1"/>
    <w:lsdException w:uiPriority="0" w:name="Block Text" w:locked="1"/>
    <w:lsdException w:qFormat="1" w:uiPriority="99" w:semiHidden="0" w:name="Hyperlink" w:locked="1"/>
    <w:lsdException w:uiPriority="0" w:name="FollowedHyperlink" w:locked="1"/>
    <w:lsdException w:qFormat="1" w:unhideWhenUsed="0" w:uiPriority="22"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43"/>
    <w:qFormat/>
    <w:locked/>
    <w:uiPriority w:val="0"/>
    <w:rPr>
      <w:sz w:val="28"/>
      <w:szCs w:val="20"/>
    </w:rPr>
  </w:style>
  <w:style w:type="paragraph" w:styleId="4">
    <w:name w:val="caption"/>
    <w:basedOn w:val="1"/>
    <w:next w:val="1"/>
    <w:qFormat/>
    <w:locked/>
    <w:uiPriority w:val="0"/>
    <w:rPr>
      <w:rFonts w:ascii="Arial" w:hAnsi="Arial" w:eastAsia="黑体" w:cs="Arial"/>
      <w:sz w:val="20"/>
      <w:szCs w:val="20"/>
    </w:rPr>
  </w:style>
  <w:style w:type="paragraph" w:styleId="5">
    <w:name w:val="annotation text"/>
    <w:basedOn w:val="1"/>
    <w:link w:val="31"/>
    <w:semiHidden/>
    <w:qFormat/>
    <w:uiPriority w:val="0"/>
    <w:rPr>
      <w:kern w:val="0"/>
      <w:sz w:val="24"/>
      <w:szCs w:val="20"/>
    </w:rPr>
  </w:style>
  <w:style w:type="paragraph" w:styleId="6">
    <w:name w:val="Body Text"/>
    <w:basedOn w:val="1"/>
    <w:link w:val="30"/>
    <w:qFormat/>
    <w:uiPriority w:val="0"/>
    <w:pPr>
      <w:snapToGrid w:val="0"/>
      <w:spacing w:before="60" w:after="160" w:line="259" w:lineRule="auto"/>
      <w:ind w:right="113"/>
    </w:pPr>
    <w:rPr>
      <w:kern w:val="0"/>
      <w:sz w:val="18"/>
      <w:szCs w:val="20"/>
    </w:rPr>
  </w:style>
  <w:style w:type="paragraph" w:styleId="7">
    <w:name w:val="Body Text Indent"/>
    <w:basedOn w:val="1"/>
    <w:link w:val="39"/>
    <w:qFormat/>
    <w:uiPriority w:val="0"/>
    <w:pPr>
      <w:spacing w:after="120"/>
      <w:ind w:left="420" w:leftChars="200"/>
    </w:pPr>
    <w:rPr>
      <w:kern w:val="0"/>
      <w:sz w:val="24"/>
      <w:szCs w:val="20"/>
    </w:rPr>
  </w:style>
  <w:style w:type="paragraph" w:styleId="8">
    <w:name w:val="Plain Text"/>
    <w:basedOn w:val="1"/>
    <w:link w:val="42"/>
    <w:qFormat/>
    <w:locked/>
    <w:uiPriority w:val="0"/>
    <w:rPr>
      <w:rFonts w:ascii="宋体" w:hAnsi="Courier New"/>
      <w:sz w:val="28"/>
      <w:szCs w:val="20"/>
    </w:rPr>
  </w:style>
  <w:style w:type="paragraph" w:styleId="9">
    <w:name w:val="Date"/>
    <w:basedOn w:val="1"/>
    <w:next w:val="1"/>
    <w:link w:val="26"/>
    <w:qFormat/>
    <w:uiPriority w:val="0"/>
    <w:pPr>
      <w:ind w:left="100" w:leftChars="2500"/>
    </w:pPr>
    <w:rPr>
      <w:kern w:val="0"/>
      <w:sz w:val="24"/>
      <w:szCs w:val="20"/>
    </w:rPr>
  </w:style>
  <w:style w:type="paragraph" w:styleId="10">
    <w:name w:val="Body Text Indent 2"/>
    <w:basedOn w:val="1"/>
    <w:link w:val="48"/>
    <w:qFormat/>
    <w:locked/>
    <w:uiPriority w:val="99"/>
    <w:pPr>
      <w:spacing w:after="120" w:line="480" w:lineRule="auto"/>
      <w:ind w:left="420" w:leftChars="200"/>
    </w:pPr>
  </w:style>
  <w:style w:type="paragraph" w:styleId="11">
    <w:name w:val="Balloon Text"/>
    <w:basedOn w:val="1"/>
    <w:link w:val="35"/>
    <w:semiHidden/>
    <w:qFormat/>
    <w:uiPriority w:val="0"/>
    <w:rPr>
      <w:kern w:val="0"/>
      <w:sz w:val="18"/>
      <w:szCs w:val="20"/>
    </w:rPr>
  </w:style>
  <w:style w:type="paragraph" w:styleId="12">
    <w:name w:val="footer"/>
    <w:basedOn w:val="1"/>
    <w:link w:val="25"/>
    <w:qFormat/>
    <w:uiPriority w:val="99"/>
    <w:pPr>
      <w:tabs>
        <w:tab w:val="center" w:pos="4153"/>
        <w:tab w:val="right" w:pos="8306"/>
      </w:tabs>
      <w:snapToGrid w:val="0"/>
    </w:pPr>
    <w:rPr>
      <w:kern w:val="0"/>
      <w:sz w:val="18"/>
      <w:szCs w:val="20"/>
    </w:rPr>
  </w:style>
  <w:style w:type="paragraph" w:styleId="13">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link w:val="28"/>
    <w:qFormat/>
    <w:uiPriority w:val="0"/>
    <w:pPr>
      <w:spacing w:before="100" w:beforeAutospacing="1" w:after="100" w:afterAutospacing="1"/>
    </w:pPr>
    <w:rPr>
      <w:rFonts w:ascii="宋体" w:hAnsi="宋体"/>
      <w:kern w:val="0"/>
      <w:sz w:val="24"/>
      <w:szCs w:val="20"/>
    </w:rPr>
  </w:style>
  <w:style w:type="paragraph" w:styleId="15">
    <w:name w:val="Title"/>
    <w:basedOn w:val="1"/>
    <w:next w:val="1"/>
    <w:link w:val="70"/>
    <w:qFormat/>
    <w:locked/>
    <w:uiPriority w:val="0"/>
    <w:pPr>
      <w:widowControl w:val="0"/>
      <w:spacing w:line="240" w:lineRule="atLeast"/>
      <w:jc w:val="center"/>
    </w:pPr>
    <w:rPr>
      <w:bCs/>
      <w:sz w:val="23"/>
      <w:szCs w:val="32"/>
    </w:rPr>
  </w:style>
  <w:style w:type="paragraph" w:styleId="16">
    <w:name w:val="annotation subject"/>
    <w:basedOn w:val="5"/>
    <w:next w:val="5"/>
    <w:link w:val="36"/>
    <w:semiHidden/>
    <w:qFormat/>
    <w:uiPriority w:val="0"/>
    <w:rPr>
      <w:b/>
    </w:rPr>
  </w:style>
  <w:style w:type="paragraph" w:styleId="17">
    <w:name w:val="Body Text First Indent 2"/>
    <w:basedOn w:val="7"/>
    <w:link w:val="73"/>
    <w:unhideWhenUsed/>
    <w:qFormat/>
    <w:locked/>
    <w:uiPriority w:val="0"/>
    <w:pPr>
      <w:ind w:firstLine="420" w:firstLineChars="200"/>
    </w:pPr>
    <w:rPr>
      <w:kern w:val="2"/>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locked/>
    <w:uiPriority w:val="22"/>
    <w:rPr>
      <w:b/>
      <w:bCs/>
    </w:rPr>
  </w:style>
  <w:style w:type="character" w:styleId="22">
    <w:name w:val="page number"/>
    <w:basedOn w:val="20"/>
    <w:qFormat/>
    <w:locked/>
    <w:uiPriority w:val="0"/>
  </w:style>
  <w:style w:type="character" w:styleId="23">
    <w:name w:val="Hyperlink"/>
    <w:unhideWhenUsed/>
    <w:qFormat/>
    <w:locked/>
    <w:uiPriority w:val="99"/>
    <w:rPr>
      <w:color w:val="0000FF"/>
      <w:u w:val="single"/>
    </w:rPr>
  </w:style>
  <w:style w:type="character" w:styleId="24">
    <w:name w:val="annotation reference"/>
    <w:semiHidden/>
    <w:qFormat/>
    <w:uiPriority w:val="0"/>
    <w:rPr>
      <w:sz w:val="21"/>
    </w:rPr>
  </w:style>
  <w:style w:type="character" w:customStyle="1" w:styleId="25">
    <w:name w:val="页脚 字符1"/>
    <w:link w:val="12"/>
    <w:qFormat/>
    <w:locked/>
    <w:uiPriority w:val="99"/>
    <w:rPr>
      <w:sz w:val="18"/>
    </w:rPr>
  </w:style>
  <w:style w:type="character" w:customStyle="1" w:styleId="26">
    <w:name w:val="日期 字符1"/>
    <w:link w:val="9"/>
    <w:qFormat/>
    <w:locked/>
    <w:uiPriority w:val="0"/>
    <w:rPr>
      <w:rFonts w:ascii="Times New Roman" w:hAnsi="Times New Roman" w:eastAsia="宋体"/>
      <w:sz w:val="24"/>
    </w:rPr>
  </w:style>
  <w:style w:type="character" w:customStyle="1" w:styleId="27">
    <w:name w:val="页脚 字符"/>
    <w:basedOn w:val="20"/>
    <w:qFormat/>
    <w:uiPriority w:val="99"/>
  </w:style>
  <w:style w:type="character" w:customStyle="1" w:styleId="28">
    <w:name w:val="普通(网站) 字符"/>
    <w:link w:val="14"/>
    <w:qFormat/>
    <w:locked/>
    <w:uiPriority w:val="0"/>
    <w:rPr>
      <w:rFonts w:ascii="宋体" w:hAnsi="宋体" w:eastAsia="宋体"/>
      <w:sz w:val="24"/>
    </w:rPr>
  </w:style>
  <w:style w:type="character" w:customStyle="1" w:styleId="29">
    <w:name w:val="正文文本 字符1"/>
    <w:semiHidden/>
    <w:qFormat/>
    <w:uiPriority w:val="0"/>
    <w:rPr>
      <w:rFonts w:ascii="Times New Roman" w:hAnsi="Times New Roman" w:eastAsia="宋体"/>
      <w:sz w:val="24"/>
    </w:rPr>
  </w:style>
  <w:style w:type="character" w:customStyle="1" w:styleId="30">
    <w:name w:val="正文文本 字符"/>
    <w:link w:val="6"/>
    <w:qFormat/>
    <w:locked/>
    <w:uiPriority w:val="0"/>
    <w:rPr>
      <w:sz w:val="18"/>
    </w:rPr>
  </w:style>
  <w:style w:type="character" w:customStyle="1" w:styleId="31">
    <w:name w:val="批注文字 字符"/>
    <w:link w:val="5"/>
    <w:qFormat/>
    <w:locked/>
    <w:uiPriority w:val="0"/>
    <w:rPr>
      <w:rFonts w:ascii="Times New Roman" w:hAnsi="Times New Roman" w:eastAsia="宋体"/>
      <w:sz w:val="24"/>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4">
    <w:name w:val="日期 字符"/>
    <w:semiHidden/>
    <w:qFormat/>
    <w:uiPriority w:val="0"/>
    <w:rPr>
      <w:rFonts w:ascii="Times New Roman" w:hAnsi="Times New Roman" w:eastAsia="宋体"/>
      <w:sz w:val="24"/>
    </w:rPr>
  </w:style>
  <w:style w:type="character" w:customStyle="1" w:styleId="35">
    <w:name w:val="批注框文本 字符"/>
    <w:link w:val="11"/>
    <w:semiHidden/>
    <w:qFormat/>
    <w:locked/>
    <w:uiPriority w:val="0"/>
    <w:rPr>
      <w:rFonts w:ascii="Times New Roman" w:hAnsi="Times New Roman" w:eastAsia="宋体"/>
      <w:sz w:val="18"/>
    </w:rPr>
  </w:style>
  <w:style w:type="character" w:customStyle="1" w:styleId="36">
    <w:name w:val="批注主题 字符"/>
    <w:link w:val="16"/>
    <w:semiHidden/>
    <w:qFormat/>
    <w:locked/>
    <w:uiPriority w:val="0"/>
    <w:rPr>
      <w:rFonts w:ascii="Times New Roman" w:hAnsi="Times New Roman" w:eastAsia="宋体"/>
      <w:b/>
      <w:kern w:val="2"/>
      <w:sz w:val="24"/>
    </w:rPr>
  </w:style>
  <w:style w:type="character" w:customStyle="1" w:styleId="37">
    <w:name w:val="页眉 字符"/>
    <w:link w:val="13"/>
    <w:qFormat/>
    <w:locked/>
    <w:uiPriority w:val="0"/>
    <w:rPr>
      <w:sz w:val="18"/>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文本缩进 字符"/>
    <w:link w:val="7"/>
    <w:semiHidden/>
    <w:qFormat/>
    <w:locked/>
    <w:uiPriority w:val="0"/>
    <w:rPr>
      <w:rFonts w:ascii="Times New Roman" w:hAnsi="Times New Roman" w:eastAsia="宋体"/>
      <w:sz w:val="24"/>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普通(网站)2"/>
    <w:basedOn w:val="1"/>
    <w:qFormat/>
    <w:uiPriority w:val="0"/>
    <w:pPr>
      <w:spacing w:before="100" w:beforeAutospacing="1" w:after="100" w:afterAutospacing="1"/>
    </w:pPr>
    <w:rPr>
      <w:rFonts w:ascii="宋体" w:hAnsi="宋体"/>
      <w:sz w:val="24"/>
      <w:szCs w:val="20"/>
    </w:rPr>
  </w:style>
  <w:style w:type="character" w:customStyle="1" w:styleId="42">
    <w:name w:val="纯文本 字符"/>
    <w:link w:val="8"/>
    <w:qFormat/>
    <w:uiPriority w:val="0"/>
    <w:rPr>
      <w:rFonts w:ascii="宋体" w:hAnsi="Courier New"/>
      <w:kern w:val="2"/>
      <w:sz w:val="28"/>
    </w:rPr>
  </w:style>
  <w:style w:type="character" w:customStyle="1" w:styleId="43">
    <w:name w:val="正文缩进 字符1"/>
    <w:link w:val="3"/>
    <w:qFormat/>
    <w:uiPriority w:val="0"/>
    <w:rPr>
      <w:kern w:val="2"/>
      <w:sz w:val="28"/>
    </w:rPr>
  </w:style>
  <w:style w:type="character" w:customStyle="1" w:styleId="44">
    <w:name w:val="纯文本 字符1"/>
    <w:qFormat/>
    <w:uiPriority w:val="0"/>
    <w:rPr>
      <w:rFonts w:ascii="宋体" w:hAnsi="Courier New" w:cs="Courier New"/>
      <w:kern w:val="2"/>
      <w:sz w:val="21"/>
      <w:szCs w:val="21"/>
    </w:rPr>
  </w:style>
  <w:style w:type="paragraph" w:customStyle="1" w:styleId="45">
    <w:name w:val="列表段落1"/>
    <w:basedOn w:val="1"/>
    <w:qFormat/>
    <w:uiPriority w:val="34"/>
    <w:pPr>
      <w:ind w:firstLine="420" w:firstLineChars="200"/>
    </w:pPr>
    <w:rPr>
      <w:rFonts w:ascii="等线" w:hAnsi="等线" w:eastAsia="等线"/>
      <w:szCs w:val="22"/>
    </w:rPr>
  </w:style>
  <w:style w:type="character" w:customStyle="1" w:styleId="46">
    <w:name w:val="NormalCharacter"/>
    <w:qFormat/>
    <w:uiPriority w:val="0"/>
  </w:style>
  <w:style w:type="paragraph" w:customStyle="1" w:styleId="47">
    <w:name w:val="21"/>
    <w:basedOn w:val="1"/>
    <w:qFormat/>
    <w:uiPriority w:val="0"/>
    <w:pPr>
      <w:spacing w:before="100" w:beforeAutospacing="1" w:after="100" w:afterAutospacing="1"/>
    </w:pPr>
    <w:rPr>
      <w:rFonts w:ascii="宋体" w:hAnsi="宋体" w:cs="宋体"/>
      <w:kern w:val="0"/>
      <w:sz w:val="24"/>
    </w:rPr>
  </w:style>
  <w:style w:type="character" w:customStyle="1" w:styleId="48">
    <w:name w:val="正文文本缩进 2 字符"/>
    <w:link w:val="10"/>
    <w:qFormat/>
    <w:uiPriority w:val="99"/>
    <w:rPr>
      <w:kern w:val="2"/>
      <w:sz w:val="21"/>
      <w:szCs w:val="24"/>
    </w:rPr>
  </w:style>
  <w:style w:type="character" w:customStyle="1" w:styleId="49">
    <w:name w:val="正文文本缩进 2 字符1"/>
    <w:qFormat/>
    <w:uiPriority w:val="0"/>
    <w:rPr>
      <w:kern w:val="2"/>
      <w:sz w:val="21"/>
      <w:szCs w:val="24"/>
    </w:rPr>
  </w:style>
  <w:style w:type="character" w:customStyle="1" w:styleId="50">
    <w:name w:val="UserStyle_1"/>
    <w:link w:val="51"/>
    <w:qFormat/>
    <w:locked/>
    <w:uiPriority w:val="0"/>
    <w:rPr>
      <w:rFonts w:ascii="宋体" w:hAnsi="宋体"/>
      <w:sz w:val="28"/>
    </w:rPr>
  </w:style>
  <w:style w:type="paragraph" w:customStyle="1" w:styleId="51">
    <w:name w:val="NormalIndent"/>
    <w:basedOn w:val="1"/>
    <w:link w:val="50"/>
    <w:qFormat/>
    <w:uiPriority w:val="0"/>
    <w:pPr>
      <w:textAlignment w:val="baseline"/>
    </w:pPr>
    <w:rPr>
      <w:rFonts w:ascii="宋体" w:hAnsi="宋体"/>
      <w:kern w:val="0"/>
      <w:sz w:val="28"/>
      <w:szCs w:val="20"/>
    </w:rPr>
  </w:style>
  <w:style w:type="paragraph" w:customStyle="1" w:styleId="52">
    <w:name w:val="Lux 表格标题"/>
    <w:basedOn w:val="1"/>
    <w:qFormat/>
    <w:uiPriority w:val="0"/>
    <w:pPr>
      <w:jc w:val="center"/>
    </w:pPr>
    <w:rPr>
      <w:rFonts w:hAnsi="宋体" w:cs="宋体"/>
      <w:b/>
      <w:color w:val="0000FF"/>
      <w:kern w:val="0"/>
      <w:szCs w:val="21"/>
      <w:lang w:eastAsia="en-US"/>
    </w:rPr>
  </w:style>
  <w:style w:type="paragraph" w:customStyle="1" w:styleId="53">
    <w:name w:val="表内"/>
    <w:basedOn w:val="1"/>
    <w:qFormat/>
    <w:uiPriority w:val="99"/>
    <w:pPr>
      <w:framePr w:hSpace="180" w:wrap="around" w:vAnchor="page" w:hAnchor="margin" w:y="1411"/>
      <w:jc w:val="both"/>
    </w:pPr>
    <w:rPr>
      <w:rFonts w:ascii="宋体" w:hAnsi="宋体" w:eastAsia="仿宋"/>
      <w:kern w:val="0"/>
      <w:sz w:val="20"/>
      <w:szCs w:val="20"/>
    </w:rPr>
  </w:style>
  <w:style w:type="paragraph" w:customStyle="1" w:styleId="54">
    <w:name w:val="表内 定"/>
    <w:basedOn w:val="1"/>
    <w:link w:val="55"/>
    <w:qFormat/>
    <w:uiPriority w:val="0"/>
    <w:pPr>
      <w:widowControl w:val="0"/>
    </w:pPr>
    <w:rPr>
      <w:rFonts w:eastAsia="仿宋"/>
      <w:snapToGrid w:val="0"/>
      <w:color w:val="000000"/>
      <w:kern w:val="0"/>
      <w:sz w:val="20"/>
      <w:szCs w:val="22"/>
    </w:rPr>
  </w:style>
  <w:style w:type="character" w:customStyle="1" w:styleId="55">
    <w:name w:val="表内 定 Char"/>
    <w:link w:val="54"/>
    <w:qFormat/>
    <w:uiPriority w:val="0"/>
    <w:rPr>
      <w:rFonts w:eastAsia="仿宋"/>
      <w:snapToGrid w:val="0"/>
      <w:color w:val="000000"/>
      <w:szCs w:val="22"/>
    </w:rPr>
  </w:style>
  <w:style w:type="paragraph" w:customStyle="1" w:styleId="56">
    <w:name w:val="Body text|1"/>
    <w:basedOn w:val="1"/>
    <w:link w:val="57"/>
    <w:unhideWhenUsed/>
    <w:qFormat/>
    <w:uiPriority w:val="0"/>
    <w:pPr>
      <w:widowControl w:val="0"/>
      <w:spacing w:line="372" w:lineRule="auto"/>
      <w:ind w:firstLine="400"/>
      <w:jc w:val="both"/>
    </w:pPr>
    <w:rPr>
      <w:rFonts w:ascii="MingLiU" w:hAnsi="MingLiU" w:eastAsia="MingLiU"/>
      <w:sz w:val="18"/>
      <w:szCs w:val="22"/>
      <w:lang w:val="zh-TW" w:eastAsia="zh-TW"/>
    </w:rPr>
  </w:style>
  <w:style w:type="character" w:customStyle="1" w:styleId="57">
    <w:name w:val="Body text|1_"/>
    <w:link w:val="56"/>
    <w:unhideWhenUsed/>
    <w:qFormat/>
    <w:uiPriority w:val="0"/>
    <w:rPr>
      <w:rFonts w:ascii="MingLiU" w:hAnsi="MingLiU" w:eastAsia="MingLiU"/>
      <w:kern w:val="2"/>
      <w:sz w:val="18"/>
      <w:szCs w:val="22"/>
      <w:lang w:val="zh-TW" w:eastAsia="zh-TW"/>
    </w:rPr>
  </w:style>
  <w:style w:type="paragraph" w:customStyle="1" w:styleId="58">
    <w:name w:val="样式 表题 + Times New Roman"/>
    <w:basedOn w:val="1"/>
    <w:qFormat/>
    <w:uiPriority w:val="99"/>
    <w:pPr>
      <w:spacing w:beforeLines="50"/>
      <w:jc w:val="center"/>
    </w:pPr>
    <w:rPr>
      <w:rFonts w:ascii="Calibri" w:hAnsi="Calibri" w:eastAsia="黑体"/>
      <w:sz w:val="24"/>
      <w:szCs w:val="22"/>
    </w:rPr>
  </w:style>
  <w:style w:type="paragraph" w:customStyle="1" w:styleId="59">
    <w:name w:val="Default"/>
    <w:qFormat/>
    <w:uiPriority w:val="0"/>
    <w:pPr>
      <w:widowControl w:val="0"/>
      <w:autoSpaceDE w:val="0"/>
      <w:autoSpaceDN w:val="0"/>
      <w:adjustRightInd w:val="0"/>
      <w:spacing w:line="360" w:lineRule="exact"/>
      <w:jc w:val="both"/>
    </w:pPr>
    <w:rPr>
      <w:rFonts w:ascii="宋体" w:hAnsi="Times New Roman" w:eastAsia="宋体" w:cs="宋体"/>
      <w:color w:val="000000"/>
      <w:sz w:val="24"/>
      <w:szCs w:val="24"/>
      <w:lang w:val="en-US" w:eastAsia="zh-CN" w:bidi="ar-SA"/>
    </w:rPr>
  </w:style>
  <w:style w:type="paragraph" w:customStyle="1" w:styleId="60">
    <w:name w:val="_Style 55"/>
    <w:basedOn w:val="7"/>
    <w:next w:val="61"/>
    <w:link w:val="62"/>
    <w:qFormat/>
    <w:uiPriority w:val="99"/>
    <w:pPr>
      <w:widowControl w:val="0"/>
      <w:ind w:firstLine="420" w:firstLineChars="200"/>
      <w:jc w:val="both"/>
    </w:pPr>
    <w:rPr>
      <w:kern w:val="2"/>
      <w:sz w:val="21"/>
      <w:szCs w:val="24"/>
    </w:rPr>
  </w:style>
  <w:style w:type="paragraph" w:customStyle="1" w:styleId="61">
    <w:name w:val="正文文本首行缩进 21"/>
    <w:basedOn w:val="7"/>
    <w:link w:val="63"/>
    <w:qFormat/>
    <w:locked/>
    <w:uiPriority w:val="0"/>
    <w:pPr>
      <w:ind w:firstLine="420" w:firstLineChars="200"/>
    </w:pPr>
    <w:rPr>
      <w:kern w:val="2"/>
      <w:sz w:val="21"/>
      <w:szCs w:val="24"/>
    </w:rPr>
  </w:style>
  <w:style w:type="character" w:customStyle="1" w:styleId="62">
    <w:name w:val="正文首行缩进 2 Char"/>
    <w:link w:val="60"/>
    <w:qFormat/>
    <w:uiPriority w:val="99"/>
    <w:rPr>
      <w:rFonts w:ascii="Times New Roman" w:hAnsi="Times New Roman" w:eastAsia="宋体"/>
      <w:kern w:val="2"/>
      <w:sz w:val="21"/>
      <w:szCs w:val="24"/>
    </w:rPr>
  </w:style>
  <w:style w:type="character" w:customStyle="1" w:styleId="63">
    <w:name w:val="正文文本首行缩进 2 字符"/>
    <w:link w:val="61"/>
    <w:qFormat/>
    <w:uiPriority w:val="0"/>
    <w:rPr>
      <w:rFonts w:ascii="Times New Roman" w:hAnsi="Times New Roman" w:eastAsia="宋体"/>
      <w:kern w:val="2"/>
      <w:sz w:val="21"/>
      <w:szCs w:val="24"/>
    </w:rPr>
  </w:style>
  <w:style w:type="character" w:customStyle="1" w:styleId="64">
    <w:name w:val="正文缩进 Char"/>
    <w:qFormat/>
    <w:locked/>
    <w:uiPriority w:val="0"/>
    <w:rPr>
      <w:rFonts w:ascii="宋体" w:hAnsi="宋体" w:eastAsia="宋体"/>
      <w:sz w:val="28"/>
    </w:rPr>
  </w:style>
  <w:style w:type="character" w:customStyle="1" w:styleId="65">
    <w:name w:val="正文缩进 字符"/>
    <w:qFormat/>
    <w:locked/>
    <w:uiPriority w:val="0"/>
    <w:rPr>
      <w:rFonts w:ascii="宋体" w:hAnsi="宋体" w:eastAsia="宋体"/>
      <w:sz w:val="28"/>
    </w:rPr>
  </w:style>
  <w:style w:type="character" w:customStyle="1" w:styleId="66">
    <w:name w:val="showhidemsg"/>
    <w:qFormat/>
    <w:uiPriority w:val="0"/>
  </w:style>
  <w:style w:type="paragraph" w:customStyle="1" w:styleId="67">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68">
    <w:name w:val="No Spacing1"/>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69">
    <w:name w:val="普通(网站) Char"/>
    <w:qFormat/>
    <w:locked/>
    <w:uiPriority w:val="0"/>
    <w:rPr>
      <w:rFonts w:ascii="宋体" w:hAnsi="宋体"/>
      <w:sz w:val="24"/>
    </w:rPr>
  </w:style>
  <w:style w:type="character" w:customStyle="1" w:styleId="70">
    <w:name w:val="标题 字符"/>
    <w:link w:val="15"/>
    <w:qFormat/>
    <w:uiPriority w:val="0"/>
    <w:rPr>
      <w:bCs/>
      <w:kern w:val="2"/>
      <w:sz w:val="23"/>
      <w:szCs w:val="32"/>
    </w:rPr>
  </w:style>
  <w:style w:type="paragraph" w:styleId="71">
    <w:name w:val="List Paragraph"/>
    <w:basedOn w:val="1"/>
    <w:qFormat/>
    <w:uiPriority w:val="34"/>
    <w:pPr>
      <w:ind w:firstLine="420" w:firstLineChars="200"/>
    </w:pPr>
  </w:style>
  <w:style w:type="paragraph" w:customStyle="1" w:styleId="7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3">
    <w:name w:val="正文文本首行缩进 2 字符1"/>
    <w:basedOn w:val="39"/>
    <w:link w:val="17"/>
    <w:qFormat/>
    <w:uiPriority w:val="0"/>
    <w:rPr>
      <w:rFonts w:ascii="Times New Roman" w:hAnsi="Times New Roman" w:eastAsia="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3.bin"/><Relationship Id="rId17" Type="http://schemas.openxmlformats.org/officeDocument/2006/relationships/image" Target="media/image10.emf"/><Relationship Id="rId16" Type="http://schemas.openxmlformats.org/officeDocument/2006/relationships/oleObject" Target="embeddings/oleObject2.bin"/><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78</Pages>
  <Words>32026</Words>
  <Characters>36451</Characters>
  <Lines>284</Lines>
  <Paragraphs>80</Paragraphs>
  <TotalTime>3941</TotalTime>
  <ScaleCrop>false</ScaleCrop>
  <LinksUpToDate>false</LinksUpToDate>
  <CharactersWithSpaces>36771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2022-08-30T16:59:00Z</dcterms:created>
  <dc:creator>lhj</dc:creator>
  <cp:lastModifiedBy>Administrator</cp:lastModifiedBy>
  <cp:lastPrinted>2022-04-15T16:33:00Z</cp:lastPrinted>
  <dcterms:modified xsi:type="dcterms:W3CDTF">2023-03-17T08:43:53Z</dcterms:modified>
  <dc:title>附件2</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8A0903320080450B88677F8F3233EFD5</vt:lpwstr>
  </property>
</Properties>
</file>