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获嘉县应急管理局2024年政府信息公开工作年度报告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拓宽渠道，深化内容。我局政务信息公开工作以应急管理、安全生产、救灾领域信息公开发布为主。2024年，全年共主动公开并发布各类信息45条，通过相关信息的及时发布，不断提高工作透明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（二）依申请公开：规范流程，高效服务。本年度，我局高度重视依申请公开工作，强化法律意识、规范办理流程。2024年我局未收到依申请公开案件。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（三）政府信息管理：严格审核，确保安全。严格执行“分级审核 、先审后发”的信息发布程序，落实三审制，明确审核流程，严把政治关、政策关、保密关、文字关，确保信息发布准确、安全、高效。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（四）政府信息公开平台建设：优化功能，提升体检。强化栏目信息发布管理，明确专人负责政府门户网站公开专栏维护，及时更新安应急管理领域信息12条、安全生产领域信息11条等信息。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（五）监督保障：完善机制，强化考核。按要求经常开展政务公开自查，及时完成任务，主动接受上级检查考核。2024年我局未发生政务公开责任追究情况。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一是政府信息公开的范围较小，还不够到位；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二是公开信息时效有待进一步提高。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整改措施：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一是加大推进政务公开力度，进一步拓宽信息公开渠道，实现信息公开的规范化、常态化。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二是加大信息公开力度，在政策解读类信息公开上下功夫。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