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获嘉县交通运输局2024年政府信息公开工作年度报告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获嘉县交通运输局在县委、县政府的精心领导下，高度重视政府信息公开工作，深入贯彻落实《中华人民共和国政府信息公开条例》，结合年度政务公开工作要点，认真围绕重点工作和年度目标任务，按照“应公开、尽公开”的要求，扎实有序推进政务公开工作落实落地。</w:t>
      </w:r>
    </w:p>
    <w:p>
      <w:pPr>
        <w:widowControl/>
        <w:shd w:color="auto" w:fill="FFFFFF" w:val="clear"/>
        <w:ind w:firstLine="480"/>
        <w:rPr>
          <w:rFonts w:ascii="宋体" w:cs="宋体" w:eastAsia="宋体" w:hAnsi="宋体"/>
          <w:color w:val="333333"/>
          <w:kern w:val="0"/>
          <w:sz w:val="24"/>
          <w:szCs w:val="24"/>
        </w:rPr>
      </w:pPr>
      <w:r>
        <w:t>（一）主动公开情况</w:t>
      </w:r>
    </w:p>
    <w:p>
      <w:pPr>
        <w:widowControl/>
        <w:shd w:color="auto" w:fill="FFFFFF" w:val="clear"/>
        <w:ind w:firstLine="480"/>
        <w:rPr>
          <w:rFonts w:ascii="宋体" w:cs="宋体" w:eastAsia="宋体" w:hAnsi="宋体"/>
          <w:color w:val="333333"/>
          <w:kern w:val="0"/>
          <w:sz w:val="24"/>
          <w:szCs w:val="24"/>
        </w:rPr>
      </w:pPr>
      <w:r>
        <w:t>我局的政府信息公开工作严格按照“公开为原则，不公开为例外”的总体要求，妥善处理公开与保密的关系，合理界定信息公开范围，做到积完整、准确、及时。公开方式主要是通过县政府政务网平台。2024年，我局主动公开本单位政务信息85条，其中：部门信息公开76条，重点领域信息4条、公共交通领域信息1条，基层政务公开信息4条。</w:t>
      </w:r>
    </w:p>
    <w:p>
      <w:pPr>
        <w:widowControl/>
        <w:shd w:color="auto" w:fill="FFFFFF" w:val="clear"/>
        <w:ind w:firstLine="480"/>
        <w:rPr>
          <w:rFonts w:ascii="宋体" w:cs="宋体" w:eastAsia="宋体" w:hAnsi="宋体"/>
          <w:color w:val="333333"/>
          <w:kern w:val="0"/>
          <w:sz w:val="24"/>
          <w:szCs w:val="24"/>
        </w:rPr>
      </w:pPr>
      <w:r>
        <w:t>（二）依申请公开情况</w:t>
      </w:r>
    </w:p>
    <w:p>
      <w:pPr>
        <w:widowControl/>
        <w:shd w:color="auto" w:fill="FFFFFF" w:val="clear"/>
        <w:ind w:firstLine="480"/>
        <w:rPr>
          <w:rFonts w:ascii="宋体" w:cs="宋体" w:eastAsia="宋体" w:hAnsi="宋体"/>
          <w:color w:val="333333"/>
          <w:kern w:val="0"/>
          <w:sz w:val="24"/>
          <w:szCs w:val="24"/>
        </w:rPr>
      </w:pPr>
      <w:r>
        <w:t>2024年，我局未收到政务公开申请，没有发生因政府信息公开申请的行政复议和行政诉讼。</w:t>
      </w:r>
    </w:p>
    <w:p>
      <w:pPr>
        <w:widowControl/>
        <w:shd w:color="auto" w:fill="FFFFFF" w:val="clear"/>
        <w:ind w:firstLine="480"/>
        <w:rPr>
          <w:rFonts w:ascii="宋体" w:cs="宋体" w:eastAsia="宋体" w:hAnsi="宋体"/>
          <w:color w:val="333333"/>
          <w:kern w:val="0"/>
          <w:sz w:val="24"/>
          <w:szCs w:val="24"/>
        </w:rPr>
      </w:pPr>
      <w:r>
        <w:t>（三）政府信息管理情况</w:t>
      </w:r>
    </w:p>
    <w:p>
      <w:pPr>
        <w:widowControl/>
        <w:shd w:color="auto" w:fill="FFFFFF" w:val="clear"/>
        <w:ind w:firstLine="480"/>
        <w:rPr>
          <w:rFonts w:ascii="宋体" w:cs="宋体" w:eastAsia="宋体" w:hAnsi="宋体"/>
          <w:color w:val="333333"/>
          <w:kern w:val="0"/>
          <w:sz w:val="24"/>
          <w:szCs w:val="24"/>
        </w:rPr>
      </w:pPr>
      <w:r>
        <w:t>我局认真按照相关制度规定，严格执行信息公开申请、发布、保密和审核制度，设专人承办政府信息发布，落实分管领导责任制。信息发布前，严格审核是否涉及国家秘密、商业秘密、个人隐私、敏感词等内容，确保不发生泄密问题，保障了各类公开信息的准确高效。</w:t>
      </w:r>
    </w:p>
    <w:p>
      <w:pPr>
        <w:widowControl/>
        <w:shd w:color="auto" w:fill="FFFFFF" w:val="clear"/>
        <w:ind w:firstLine="480"/>
        <w:rPr>
          <w:rFonts w:ascii="宋体" w:cs="宋体" w:eastAsia="宋体" w:hAnsi="宋体"/>
          <w:color w:val="333333"/>
          <w:kern w:val="0"/>
          <w:sz w:val="24"/>
          <w:szCs w:val="24"/>
        </w:rPr>
      </w:pPr>
      <w:r>
        <w:t>（四）政府信息公开平台建设情况</w:t>
      </w:r>
    </w:p>
    <w:p>
      <w:pPr>
        <w:widowControl/>
        <w:shd w:color="auto" w:fill="FFFFFF" w:val="clear"/>
        <w:ind w:firstLine="480"/>
        <w:rPr>
          <w:rFonts w:ascii="宋体" w:cs="宋体" w:eastAsia="宋体" w:hAnsi="宋体"/>
          <w:color w:val="333333"/>
          <w:kern w:val="0"/>
          <w:sz w:val="24"/>
          <w:szCs w:val="24"/>
        </w:rPr>
      </w:pPr>
      <w:r>
        <w:t>我局信息公开的载体主要是县人民政府门户网站，实行动态更新管理，严格落实政务新媒体审核制度，切实履行信息公开责任，及时、全面、准确公开各类政府信息，方便群众查阅。</w:t>
      </w:r>
    </w:p>
    <w:p>
      <w:pPr>
        <w:widowControl/>
        <w:shd w:color="auto" w:fill="FFFFFF" w:val="clear"/>
        <w:ind w:firstLine="480"/>
        <w:rPr>
          <w:rFonts w:ascii="宋体" w:cs="宋体" w:eastAsia="宋体" w:hAnsi="宋体"/>
          <w:color w:val="333333"/>
          <w:kern w:val="0"/>
          <w:sz w:val="24"/>
          <w:szCs w:val="24"/>
        </w:rPr>
      </w:pPr>
      <w:r>
        <w:t>（五）监督保障情况</w:t>
      </w:r>
    </w:p>
    <w:p>
      <w:pPr>
        <w:widowControl/>
        <w:shd w:color="auto" w:fill="FFFFFF" w:val="clear"/>
        <w:ind w:firstLine="480"/>
        <w:rPr>
          <w:rFonts w:ascii="宋体" w:cs="宋体" w:eastAsia="宋体" w:hAnsi="宋体"/>
          <w:color w:val="333333"/>
          <w:kern w:val="0"/>
          <w:sz w:val="24"/>
          <w:szCs w:val="24"/>
        </w:rPr>
      </w:pPr>
      <w:r>
        <w:t>我局严格按照上级有关政府信息公开的文件精神和工作部署,落实规范门户网站信息发布审核要求,进一步完善政府信息公开工作相关管理制度,建立健全长效管理机制，按照“涉密信息不公开、公开信息不涉密”的原则,严格执行政府信息发布保密审查制度,严把信息安全关。接受社会群众的社会监督、社会评议，评议结果良好，未出现违反有关法律规定、造成不良影响或者严重后果的情况。全年未发生因不履行政务公开义务而发生的责任追究情况。</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126</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285</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5</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（一）工作中存在的主要问题</w:t>
      </w:r>
    </w:p>
    <w:p>
      <w:pPr>
        <w:widowControl/>
        <w:shd w:color="auto" w:fill="FFFFFF" w:val="clear"/>
        <w:ind w:firstLine="480"/>
        <w:rPr>
          <w:rFonts w:ascii="宋体" w:cs="宋体" w:eastAsia="宋体" w:hAnsi="宋体"/>
          <w:color w:val="333333"/>
          <w:kern w:val="0"/>
          <w:sz w:val="24"/>
          <w:szCs w:val="24"/>
        </w:rPr>
      </w:pPr>
      <w:r>
        <w:t>2024年，我局信息公开工作在县委、县政府的领导下取得了良好的成效，但也存在以下问题和不足，主要表现在：一是信息公开领域还有待于进一步加强。需要进一步挖掘深度，拓宽广度，努力从多方面、多层次上公开政府信息，特别是在关乎民生问题上下功夫，进一步服务民众、方便群众，接受社会监督；二是信息公开的时效性有待加强。如天气骤变从而导致的交通道路通行问题等时效性很强的信息要及早发布，增强信息时效性和扩大信息传播范围；三是信息公开队伍建设有待进一步加强。加强信息公开人员的主动性和责任意识，积极参与信息发掘与公开。</w:t>
      </w:r>
    </w:p>
    <w:p>
      <w:pPr>
        <w:widowControl/>
        <w:shd w:color="auto" w:fill="FFFFFF" w:val="clear"/>
        <w:ind w:firstLine="480"/>
        <w:rPr>
          <w:rFonts w:ascii="宋体" w:cs="宋体" w:eastAsia="宋体" w:hAnsi="宋体"/>
          <w:color w:val="333333"/>
          <w:kern w:val="0"/>
          <w:sz w:val="24"/>
          <w:szCs w:val="24"/>
        </w:rPr>
      </w:pPr>
      <w:r>
        <w:t>（二）改进措施</w:t>
      </w:r>
    </w:p>
    <w:p>
      <w:pPr>
        <w:widowControl/>
        <w:shd w:color="auto" w:fill="FFFFFF" w:val="clear"/>
        <w:ind w:firstLine="480"/>
        <w:rPr>
          <w:rFonts w:ascii="宋体" w:cs="宋体" w:eastAsia="宋体" w:hAnsi="宋体"/>
          <w:color w:val="333333"/>
          <w:kern w:val="0"/>
          <w:sz w:val="24"/>
          <w:szCs w:val="24"/>
        </w:rPr>
      </w:pPr>
      <w:r>
        <w:t>2025年，我局将继续按照县委、县政府的要求，进一步加强政府信息及政务公开工作，完善政府信息及政务公开工作管理流程，努力在信息公开规范化、制度化等方面取得新进展。一是加强业务知识学习。信息公开工作人员加强对《中华人民共和国政府信息公开条例》等相关文件的学习，增强工作意识和责任意识，准确把握政策要求，做到该公开的不漏掉，不该公开的坚决不公开；二是加强责任落实。及时有效地报送公开政府信息，充实信息来源，增强信息时效性和公开效果；三是提高信息公开质量。加大公开力度，不断拓宽和丰富信息公开内容，完善相关制度和程序，规范信息公开行为，提高信息公开工作水平。</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