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获嘉县自然资源局2024年政府信息公开工作年度报告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一、总体情况</w:t>
      </w:r>
    </w:p>
    <w:p>
      <w:pPr>
        <w:widowControl/>
        <w:shd w:color="auto" w:fill="FFFFFF" w:val="clear"/>
        <w:ind w:firstLine="480"/>
        <w:rPr>
          <w:rFonts w:ascii="宋体" w:cs="宋体" w:eastAsia="宋体" w:hAnsi="宋体"/>
          <w:color w:val="333333"/>
          <w:kern w:val="0"/>
          <w:sz w:val="24"/>
          <w:szCs w:val="24"/>
        </w:rPr>
      </w:pPr>
      <w:r>
        <w:t>2024年，我局严格落实各级有关政府信息公开工作规定，重点加强对城乡规划、土地、林业、不动产登记、违法用地监管、处罚等工作的办理、公开时效，深化公开内容，提升服务质量，确保公民、法人和其他组织对于自然资源管理的知情权、参与权、表达权和监督权，不断加强历史业务档案管理工作，有效优化提升公众通过现场查档、网上申请、电话咨询等途径依法申请信息公开体验，并通过积极引导、强化沟通，依托县政府网站部门动态栏目，加强对机关各股室日常重点工作的宣传，有力促进自然资源管理依法行政和行政权力公开透明运行，为保障县优化营商环境、推进经济社会发展发挥了积极作用。同时按照各级要求，积极加强业务部门之间的沟通协调和业务研究，持续深化推进基层政务公开标准化规范化工作。</w:t>
      </w:r>
    </w:p>
    <w:p>
      <w:pPr>
        <w:widowControl/>
        <w:shd w:color="auto" w:fill="FFFFFF" w:val="clear"/>
        <w:ind w:firstLine="480"/>
        <w:rPr>
          <w:rFonts w:ascii="宋体" w:cs="宋体" w:eastAsia="宋体" w:hAnsi="宋体"/>
          <w:color w:val="333333"/>
          <w:kern w:val="0"/>
          <w:sz w:val="24"/>
          <w:szCs w:val="24"/>
        </w:rPr>
      </w:pPr>
      <w:r>
        <w:t>（一）主动公开情况。</w:t>
      </w:r>
    </w:p>
    <w:p>
      <w:pPr>
        <w:widowControl/>
        <w:shd w:color="auto" w:fill="FFFFFF" w:val="clear"/>
        <w:ind w:firstLine="480"/>
        <w:rPr>
          <w:rFonts w:ascii="宋体" w:cs="宋体" w:eastAsia="宋体" w:hAnsi="宋体"/>
          <w:color w:val="333333"/>
          <w:kern w:val="0"/>
          <w:sz w:val="24"/>
          <w:szCs w:val="24"/>
        </w:rPr>
      </w:pPr>
      <w:r>
        <w:t>主要涉及部门信息公开、土地供应、不动产登记信息、行政许可、国土空间规划、农村集体土地征收等相关信息。2024年，获嘉县自然资源局主动向社会各界公开各类相关信息150余条。</w:t>
      </w:r>
    </w:p>
    <w:p>
      <w:pPr>
        <w:widowControl/>
        <w:shd w:color="auto" w:fill="FFFFFF" w:val="clear"/>
        <w:ind w:firstLine="480"/>
        <w:rPr>
          <w:rFonts w:ascii="宋体" w:cs="宋体" w:eastAsia="宋体" w:hAnsi="宋体"/>
          <w:color w:val="333333"/>
          <w:kern w:val="0"/>
          <w:sz w:val="24"/>
          <w:szCs w:val="24"/>
        </w:rPr>
      </w:pPr>
      <w:r>
        <w:t>（二）依申请公开情况。</w:t>
      </w:r>
    </w:p>
    <w:p>
      <w:pPr>
        <w:widowControl/>
        <w:shd w:color="auto" w:fill="FFFFFF" w:val="clear"/>
        <w:ind w:firstLine="480"/>
        <w:rPr>
          <w:rFonts w:ascii="宋体" w:cs="宋体" w:eastAsia="宋体" w:hAnsi="宋体"/>
          <w:color w:val="333333"/>
          <w:kern w:val="0"/>
          <w:sz w:val="24"/>
          <w:szCs w:val="24"/>
        </w:rPr>
      </w:pPr>
      <w:r>
        <w:t>2024年度获嘉县自然资源局未收到和办理政府信息公开申请。</w:t>
      </w:r>
    </w:p>
    <w:p>
      <w:pPr>
        <w:widowControl/>
        <w:shd w:color="auto" w:fill="FFFFFF" w:val="clear"/>
        <w:ind w:firstLine="480"/>
        <w:rPr>
          <w:rFonts w:ascii="宋体" w:cs="宋体" w:eastAsia="宋体" w:hAnsi="宋体"/>
          <w:color w:val="333333"/>
          <w:kern w:val="0"/>
          <w:sz w:val="24"/>
          <w:szCs w:val="24"/>
        </w:rPr>
      </w:pPr>
      <w:r>
        <w:t>（三）政府信息管理方面。</w:t>
      </w:r>
    </w:p>
    <w:p>
      <w:pPr>
        <w:widowControl/>
        <w:shd w:color="auto" w:fill="FFFFFF" w:val="clear"/>
        <w:ind w:firstLine="480"/>
        <w:rPr>
          <w:rFonts w:ascii="宋体" w:cs="宋体" w:eastAsia="宋体" w:hAnsi="宋体"/>
          <w:color w:val="333333"/>
          <w:kern w:val="0"/>
          <w:sz w:val="24"/>
          <w:szCs w:val="24"/>
        </w:rPr>
      </w:pPr>
      <w:r>
        <w:t>我局严格贯彻落实《中华人民共和国政府信息公开条例》相关规定，及时更新政府信息内容，严格执行信息公开保密审查制度，落实“先审后发”、“三审三校”制度，确保发布高质量的信息。积极参加上级部门组织的政务公开相关培训会，不断提高我局信息公开保障水平。</w:t>
      </w:r>
    </w:p>
    <w:p>
      <w:pPr>
        <w:widowControl/>
        <w:shd w:color="auto" w:fill="FFFFFF" w:val="clear"/>
        <w:ind w:firstLine="480"/>
        <w:rPr>
          <w:rFonts w:ascii="宋体" w:cs="宋体" w:eastAsia="宋体" w:hAnsi="宋体"/>
          <w:color w:val="333333"/>
          <w:kern w:val="0"/>
          <w:sz w:val="24"/>
          <w:szCs w:val="24"/>
        </w:rPr>
      </w:pPr>
      <w:r>
        <w:t>（四）公开平台建设方面。</w:t>
      </w:r>
    </w:p>
    <w:p>
      <w:pPr>
        <w:widowControl/>
        <w:shd w:color="auto" w:fill="FFFFFF" w:val="clear"/>
        <w:ind w:firstLine="480"/>
        <w:rPr>
          <w:rFonts w:ascii="宋体" w:cs="宋体" w:eastAsia="宋体" w:hAnsi="宋体"/>
          <w:color w:val="333333"/>
          <w:kern w:val="0"/>
          <w:sz w:val="24"/>
          <w:szCs w:val="24"/>
        </w:rPr>
      </w:pPr>
      <w:r>
        <w:t>结合我局工作实际，做好自然资源专题专栏的信息公开工作。</w:t>
      </w:r>
    </w:p>
    <w:p>
      <w:pPr>
        <w:widowControl/>
        <w:shd w:color="auto" w:fill="FFFFFF" w:val="clear"/>
        <w:ind w:firstLine="480"/>
        <w:rPr>
          <w:rFonts w:ascii="宋体" w:cs="宋体" w:eastAsia="宋体" w:hAnsi="宋体"/>
          <w:color w:val="333333"/>
          <w:kern w:val="0"/>
          <w:sz w:val="24"/>
          <w:szCs w:val="24"/>
        </w:rPr>
      </w:pPr>
      <w:r>
        <w:t>（五）监督保障方面。</w:t>
      </w:r>
    </w:p>
    <w:p>
      <w:pPr>
        <w:widowControl/>
        <w:shd w:color="auto" w:fill="FFFFFF" w:val="clear"/>
        <w:ind w:firstLine="480"/>
        <w:rPr>
          <w:rFonts w:ascii="宋体" w:cs="宋体" w:eastAsia="宋体" w:hAnsi="宋体"/>
          <w:color w:val="333333"/>
          <w:kern w:val="0"/>
          <w:sz w:val="24"/>
          <w:szCs w:val="24"/>
        </w:rPr>
      </w:pPr>
      <w:r>
        <w:t>明确局相关业务股室配合保障网站相关栏目的信息公开资料提供工作，办公室为政务信息公开的负责股室，由专人负责我局相关栏目的信息公开工作，组织协调、指导推进全局的政务公开工作。</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143.797</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2024年，我局信息公开工作取得了一定成效，但也存在一些不足，如依申请公开办理还有待进一步规范，政务公开业务水平仍需持续提升等。</w:t>
      </w:r>
    </w:p>
    <w:p>
      <w:pPr>
        <w:widowControl/>
        <w:shd w:color="auto" w:fill="FFFFFF" w:val="clear"/>
        <w:ind w:firstLine="480"/>
        <w:rPr>
          <w:rFonts w:ascii="宋体" w:cs="宋体" w:eastAsia="宋体" w:hAnsi="宋体"/>
          <w:color w:val="333333"/>
          <w:kern w:val="0"/>
          <w:sz w:val="24"/>
          <w:szCs w:val="24"/>
        </w:rPr>
      </w:pPr>
      <w:r>
        <w:t>针对上述问题，2025年我局将按照国家、省、市、县的要求，继续积极推进政府信息公开工作，加强相关业务学习，进一步提升政务公开工作人员的业务能力和工作水平，主动及时公开应公开的政务信息，保障民众的知情权。</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