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获嘉县民政局2024年政府信息公开工作年度报告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（一）主动公开。2024年，我局政务信息公开工作以社会组织、养老服务、社会救助信息公开发布为主，共发布相关信息89条，通过相关信息的及时发布，不断提高工作透明度。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（二）依申请公开。2024年我局未收到公民、法人和其他组织的政府信息公开申请，没有发生行政复议和行政诉讼。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（三）政府信息管理。严格执行“分级审核 、先审后发”的信息发布程序，落实三审制，明确审核流程，严把政治关、政策关、保密关、文字关，确保信息发布准确、安全、高效。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。完善政府信息主动公开制度，明确政府信息公开的职责、内容、程序、方式和时限要求。强化栏目信息发布管理，明确专人负责政府门户网站公开专栏维护，及时更新社会救助、养老服务、社会组织等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（五）监督保障。坚持问题导向，按要求经常开展政务公开自查，及时完成任务，2024年我局未发生政务公开责任追究情况。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52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22.95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存在问题：一是政府信息公开的内容不够全面，范围仍需扩大；二是信息公开的时效性有待加强。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整改措施：一是加强推进政务公开的内容和力度，进一步拓宽信息公开渠道，实现信息公开的规范化、常态化。加大信息公开力度。二是在政策解读类信息公开上下功夫，加强内容、程序和保密的学习培训，确保政务信息公开工作及时、准确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