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textAlignment w:val="auto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/>
        </w:rPr>
        <w:t>附件2：</w:t>
      </w:r>
    </w:p>
    <w:p>
      <w:pPr>
        <w:jc w:val="center"/>
        <w:rPr>
          <w:rFonts w:hint="default" w:ascii="Times New Roman" w:hAnsi="Times New Roman" w:eastAsia="方正小标宋简体" w:cs="Times New Roman"/>
          <w:i w:val="0"/>
          <w:color w:val="00000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sz w:val="44"/>
          <w:szCs w:val="44"/>
          <w:u w:val="none"/>
          <w:lang w:val="en-US" w:eastAsia="zh-CN"/>
        </w:rPr>
        <w:t>2019年市级财政扶贫资金603万元分配方案</w:t>
      </w:r>
    </w:p>
    <w:tbl>
      <w:tblPr>
        <w:tblW w:w="138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0"/>
        <w:gridCol w:w="5366"/>
        <w:gridCol w:w="3288"/>
        <w:gridCol w:w="3116"/>
      </w:tblGrid>
      <w:tr>
        <w:trPr>
          <w:trHeight w:val="70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项目类别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预分配金额（万元）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项目实施单位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产业扶贫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农业产业化项目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280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农牧局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百企万户项目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75.49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工商联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金融扶贫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“脱贫攻坚”一揽子保险项目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77.51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金融办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金融扶贫风险金项目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170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金融办</w:t>
            </w:r>
          </w:p>
        </w:tc>
      </w:tr>
      <w:tr>
        <w:trPr>
          <w:trHeight w:val="56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603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textAlignment w:val="auto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520" w:lineRule="exact"/>
        <w:ind w:right="0"/>
        <w:textAlignment w:val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4">
    <w:name w:val="Default Paragraph Font"/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rPr>
      <w:b/>
    </w:rPr>
  </w:style>
  <w:style w:type="paragraph" w:customStyle="1" w:styleId="6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dcterms:modified xsi:type="dcterms:W3CDTF">2019-02-20T15:19:56Z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