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A5" w:rsidRDefault="001869E1">
      <w:pPr>
        <w:overflowPunct w:val="0"/>
        <w:ind w:firstLineChars="0" w:firstLine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关于照镜镇</w:t>
      </w:r>
      <w:r>
        <w:rPr>
          <w:rFonts w:eastAsia="方正小标宋简体"/>
          <w:bCs/>
          <w:sz w:val="44"/>
          <w:szCs w:val="44"/>
        </w:rPr>
        <w:t>2019</w:t>
      </w:r>
      <w:r>
        <w:rPr>
          <w:rFonts w:eastAsia="方正小标宋简体"/>
          <w:bCs/>
          <w:sz w:val="44"/>
          <w:szCs w:val="44"/>
        </w:rPr>
        <w:t>年财政预算执行情况</w:t>
      </w:r>
    </w:p>
    <w:p w:rsidR="00165EA5" w:rsidRDefault="001869E1">
      <w:pPr>
        <w:overflowPunct w:val="0"/>
        <w:ind w:firstLineChars="0" w:firstLine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和</w:t>
      </w:r>
      <w:r>
        <w:rPr>
          <w:rFonts w:eastAsia="方正小标宋简体"/>
          <w:bCs/>
          <w:sz w:val="44"/>
          <w:szCs w:val="44"/>
        </w:rPr>
        <w:t>2020</w:t>
      </w:r>
      <w:r>
        <w:rPr>
          <w:rFonts w:eastAsia="方正小标宋简体"/>
          <w:bCs/>
          <w:sz w:val="44"/>
          <w:szCs w:val="44"/>
        </w:rPr>
        <w:t>年财政预算的报告</w:t>
      </w:r>
    </w:p>
    <w:p w:rsidR="00165EA5" w:rsidRDefault="001869E1">
      <w:pPr>
        <w:overflowPunct w:val="0"/>
        <w:ind w:firstLineChars="6" w:firstLine="19"/>
        <w:jc w:val="center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（</w:t>
      </w:r>
      <w:r>
        <w:rPr>
          <w:rFonts w:eastAsia="楷体_GB2312"/>
          <w:b/>
          <w:szCs w:val="32"/>
        </w:rPr>
        <w:t>2020</w:t>
      </w:r>
      <w:r>
        <w:rPr>
          <w:rFonts w:eastAsia="楷体_GB2312"/>
          <w:b/>
          <w:szCs w:val="32"/>
        </w:rPr>
        <w:t>年</w:t>
      </w:r>
      <w:r>
        <w:rPr>
          <w:rFonts w:eastAsia="楷体_GB2312"/>
          <w:b/>
          <w:szCs w:val="32"/>
        </w:rPr>
        <w:t>6</w:t>
      </w:r>
      <w:r>
        <w:rPr>
          <w:rFonts w:eastAsia="楷体_GB2312"/>
          <w:b/>
          <w:szCs w:val="32"/>
        </w:rPr>
        <w:t>月</w:t>
      </w:r>
      <w:r>
        <w:rPr>
          <w:rFonts w:eastAsia="楷体_GB2312"/>
          <w:b/>
          <w:szCs w:val="32"/>
        </w:rPr>
        <w:t>28</w:t>
      </w:r>
      <w:r>
        <w:rPr>
          <w:rFonts w:eastAsia="楷体_GB2312"/>
          <w:b/>
          <w:szCs w:val="32"/>
        </w:rPr>
        <w:t>日在照镜镇第十五届人民代表大会第五次会议）</w:t>
      </w:r>
    </w:p>
    <w:p w:rsidR="00165EA5" w:rsidRDefault="001869E1">
      <w:pPr>
        <w:overflowPunct w:val="0"/>
        <w:ind w:firstLineChars="6" w:firstLine="19"/>
        <w:jc w:val="center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照镜镇财政所所长</w:t>
      </w:r>
      <w:r>
        <w:rPr>
          <w:rFonts w:eastAsia="楷体_GB2312"/>
          <w:b/>
          <w:szCs w:val="32"/>
        </w:rPr>
        <w:t xml:space="preserve">  </w:t>
      </w:r>
      <w:r>
        <w:rPr>
          <w:rFonts w:eastAsia="楷体_GB2312"/>
          <w:b/>
          <w:szCs w:val="32"/>
        </w:rPr>
        <w:t>赵鹏</w:t>
      </w:r>
    </w:p>
    <w:p w:rsidR="00165EA5" w:rsidRDefault="00165EA5">
      <w:pPr>
        <w:overflowPunct w:val="0"/>
        <w:ind w:firstLineChars="6" w:firstLine="19"/>
        <w:jc w:val="center"/>
        <w:rPr>
          <w:rFonts w:eastAsia="楷体_GB2312"/>
          <w:szCs w:val="32"/>
        </w:rPr>
      </w:pPr>
      <w:bookmarkStart w:id="0" w:name="_GoBack"/>
      <w:bookmarkEnd w:id="0"/>
    </w:p>
    <w:p w:rsidR="00165EA5" w:rsidRDefault="001869E1">
      <w:pPr>
        <w:overflowPunct w:val="0"/>
        <w:ind w:firstLineChars="0" w:firstLine="0"/>
        <w:rPr>
          <w:szCs w:val="32"/>
        </w:rPr>
      </w:pPr>
      <w:r>
        <w:rPr>
          <w:szCs w:val="32"/>
        </w:rPr>
        <w:t>各位代表、同志们：</w:t>
      </w:r>
    </w:p>
    <w:p w:rsidR="00165EA5" w:rsidRDefault="001869E1">
      <w:pPr>
        <w:overflowPunct w:val="0"/>
        <w:ind w:firstLine="640"/>
        <w:rPr>
          <w:szCs w:val="32"/>
        </w:rPr>
      </w:pPr>
      <w:r>
        <w:rPr>
          <w:szCs w:val="32"/>
        </w:rPr>
        <w:t>我受照镜镇人民政府委托，就</w:t>
      </w:r>
      <w:r>
        <w:rPr>
          <w:szCs w:val="32"/>
        </w:rPr>
        <w:t>2019</w:t>
      </w:r>
      <w:r>
        <w:rPr>
          <w:szCs w:val="32"/>
        </w:rPr>
        <w:t>年财政预算执行情况和</w:t>
      </w:r>
      <w:r>
        <w:rPr>
          <w:szCs w:val="32"/>
        </w:rPr>
        <w:t>2020</w:t>
      </w:r>
      <w:r>
        <w:rPr>
          <w:szCs w:val="32"/>
        </w:rPr>
        <w:t>年财政预算向大会作报告，请予审议。</w:t>
      </w:r>
    </w:p>
    <w:p w:rsidR="00165EA5" w:rsidRDefault="001869E1" w:rsidP="00DF030C">
      <w:pPr>
        <w:pStyle w:val="1"/>
        <w:ind w:firstLine="640"/>
        <w:rPr>
          <w:rFonts w:eastAsia="黑体"/>
          <w:b w:val="0"/>
          <w:bCs/>
        </w:rPr>
      </w:pPr>
      <w:r>
        <w:rPr>
          <w:rFonts w:eastAsia="黑体"/>
          <w:b w:val="0"/>
          <w:bCs/>
        </w:rPr>
        <w:t>一、</w:t>
      </w:r>
      <w:r>
        <w:rPr>
          <w:rFonts w:eastAsia="黑体"/>
          <w:b w:val="0"/>
          <w:bCs/>
        </w:rPr>
        <w:t>2019</w:t>
      </w:r>
      <w:r>
        <w:rPr>
          <w:rFonts w:eastAsia="黑体"/>
          <w:b w:val="0"/>
          <w:bCs/>
        </w:rPr>
        <w:t>年财政预算执行情况</w:t>
      </w:r>
    </w:p>
    <w:p w:rsidR="00165EA5" w:rsidRDefault="001869E1">
      <w:pPr>
        <w:overflowPunct w:val="0"/>
        <w:ind w:firstLine="640"/>
        <w:rPr>
          <w:szCs w:val="32"/>
        </w:rPr>
      </w:pPr>
      <w:r>
        <w:rPr>
          <w:szCs w:val="32"/>
        </w:rPr>
        <w:t>2019</w:t>
      </w:r>
      <w:r>
        <w:rPr>
          <w:szCs w:val="32"/>
        </w:rPr>
        <w:t>年，全镇财政工作在镇党委、政府的正确领导下，在镇人大、镇纪委的监督支持下，充分发挥财政职能作用，认真落实促进经济发展的一系列政策措施，攻坚克难，增收节支，有力地促进了全镇经济全面、协调、健康发展，进一步提高财政运行质量。</w:t>
      </w:r>
    </w:p>
    <w:p w:rsidR="00165EA5" w:rsidRDefault="001869E1">
      <w:pPr>
        <w:overflowPunct w:val="0"/>
        <w:ind w:firstLine="640"/>
        <w:rPr>
          <w:color w:val="000000"/>
          <w:szCs w:val="32"/>
        </w:rPr>
      </w:pPr>
      <w:r>
        <w:rPr>
          <w:szCs w:val="32"/>
        </w:rPr>
        <w:t>2019</w:t>
      </w:r>
      <w:r>
        <w:rPr>
          <w:szCs w:val="32"/>
        </w:rPr>
        <w:t>年全镇完成一般预算收入任务</w:t>
      </w:r>
      <w:r>
        <w:rPr>
          <w:szCs w:val="32"/>
        </w:rPr>
        <w:t>3084.65</w:t>
      </w:r>
      <w:r>
        <w:rPr>
          <w:szCs w:val="32"/>
        </w:rPr>
        <w:t>万元，为年初预算的</w:t>
      </w:r>
      <w:r>
        <w:rPr>
          <w:szCs w:val="32"/>
        </w:rPr>
        <w:t>86%</w:t>
      </w:r>
      <w:r>
        <w:rPr>
          <w:szCs w:val="32"/>
        </w:rPr>
        <w:t>，同比增长</w:t>
      </w:r>
      <w:r>
        <w:rPr>
          <w:szCs w:val="32"/>
        </w:rPr>
        <w:t>2.52%</w:t>
      </w:r>
      <w:r>
        <w:rPr>
          <w:szCs w:val="32"/>
        </w:rPr>
        <w:t>；转移支付等上级补助收入</w:t>
      </w:r>
      <w:r>
        <w:rPr>
          <w:szCs w:val="32"/>
        </w:rPr>
        <w:t>619.28</w:t>
      </w:r>
      <w:r>
        <w:rPr>
          <w:szCs w:val="32"/>
        </w:rPr>
        <w:t>万元，调入预算稳定调节基金</w:t>
      </w:r>
      <w:r>
        <w:rPr>
          <w:szCs w:val="32"/>
        </w:rPr>
        <w:t>646.73</w:t>
      </w:r>
      <w:r>
        <w:rPr>
          <w:szCs w:val="32"/>
        </w:rPr>
        <w:t>万元，总收入</w:t>
      </w:r>
      <w:r>
        <w:rPr>
          <w:szCs w:val="32"/>
        </w:rPr>
        <w:t>4350.66</w:t>
      </w:r>
      <w:r>
        <w:rPr>
          <w:szCs w:val="32"/>
        </w:rPr>
        <w:t>万元。财政一般预算支出完成</w:t>
      </w:r>
      <w:r>
        <w:rPr>
          <w:szCs w:val="32"/>
        </w:rPr>
        <w:t>1549.23</w:t>
      </w:r>
      <w:r>
        <w:rPr>
          <w:szCs w:val="32"/>
        </w:rPr>
        <w:t>万元，占年初预算</w:t>
      </w:r>
      <w:r>
        <w:rPr>
          <w:szCs w:val="32"/>
        </w:rPr>
        <w:t>104%</w:t>
      </w:r>
      <w:r>
        <w:rPr>
          <w:szCs w:val="32"/>
        </w:rPr>
        <w:t>，同比下降</w:t>
      </w:r>
      <w:r>
        <w:rPr>
          <w:szCs w:val="32"/>
        </w:rPr>
        <w:t>19.50%</w:t>
      </w:r>
      <w:r>
        <w:rPr>
          <w:szCs w:val="32"/>
        </w:rPr>
        <w:t>；体制上解、专项上解、超基数上解、扣款上解支出</w:t>
      </w:r>
      <w:r>
        <w:rPr>
          <w:szCs w:val="32"/>
        </w:rPr>
        <w:t>2788.36</w:t>
      </w:r>
      <w:r>
        <w:rPr>
          <w:szCs w:val="32"/>
        </w:rPr>
        <w:t>万元，补充预算稳定调节基金</w:t>
      </w:r>
      <w:r>
        <w:rPr>
          <w:szCs w:val="32"/>
        </w:rPr>
        <w:t>13.07</w:t>
      </w:r>
      <w:r>
        <w:rPr>
          <w:szCs w:val="32"/>
        </w:rPr>
        <w:t>万元，总支出</w:t>
      </w:r>
      <w:r>
        <w:rPr>
          <w:szCs w:val="32"/>
        </w:rPr>
        <w:t>4350.66</w:t>
      </w:r>
      <w:r>
        <w:rPr>
          <w:szCs w:val="32"/>
        </w:rPr>
        <w:t>万元</w:t>
      </w:r>
      <w:r>
        <w:rPr>
          <w:color w:val="000000"/>
          <w:szCs w:val="32"/>
        </w:rPr>
        <w:t>，实现了收支平衡。</w:t>
      </w:r>
    </w:p>
    <w:p w:rsidR="00165EA5" w:rsidRDefault="001869E1">
      <w:pPr>
        <w:overflowPunct w:val="0"/>
        <w:ind w:firstLine="640"/>
        <w:rPr>
          <w:szCs w:val="32"/>
        </w:rPr>
      </w:pPr>
      <w:r>
        <w:rPr>
          <w:rFonts w:eastAsia="楷体_GB2312"/>
          <w:b/>
          <w:bCs/>
        </w:rPr>
        <w:t>主要收入项目完成情况是：</w:t>
      </w:r>
      <w:r>
        <w:rPr>
          <w:b/>
          <w:bCs/>
          <w:szCs w:val="32"/>
        </w:rPr>
        <w:t>一是各类税收，</w:t>
      </w:r>
      <w:r>
        <w:rPr>
          <w:szCs w:val="32"/>
        </w:rPr>
        <w:t>增值税完成</w:t>
      </w:r>
      <w:r>
        <w:rPr>
          <w:szCs w:val="32"/>
        </w:rPr>
        <w:t>2066.38</w:t>
      </w:r>
      <w:r>
        <w:rPr>
          <w:szCs w:val="32"/>
        </w:rPr>
        <w:t>万元，占年初预算的</w:t>
      </w:r>
      <w:r>
        <w:rPr>
          <w:szCs w:val="32"/>
        </w:rPr>
        <w:t>90.67%</w:t>
      </w:r>
      <w:r>
        <w:rPr>
          <w:szCs w:val="32"/>
        </w:rPr>
        <w:t>，企业所得税完成</w:t>
      </w:r>
      <w:r>
        <w:rPr>
          <w:szCs w:val="32"/>
        </w:rPr>
        <w:t>621.69</w:t>
      </w:r>
      <w:r>
        <w:rPr>
          <w:szCs w:val="32"/>
        </w:rPr>
        <w:t>万元，占年初预算的</w:t>
      </w:r>
      <w:r>
        <w:rPr>
          <w:szCs w:val="32"/>
        </w:rPr>
        <w:t>55.02%</w:t>
      </w:r>
      <w:r>
        <w:rPr>
          <w:szCs w:val="32"/>
        </w:rPr>
        <w:t>，个人所得税完成</w:t>
      </w:r>
      <w:r>
        <w:rPr>
          <w:szCs w:val="32"/>
        </w:rPr>
        <w:t>85.52</w:t>
      </w:r>
      <w:r>
        <w:rPr>
          <w:szCs w:val="32"/>
        </w:rPr>
        <w:t>万元，占年初</w:t>
      </w:r>
      <w:r>
        <w:rPr>
          <w:szCs w:val="32"/>
        </w:rPr>
        <w:lastRenderedPageBreak/>
        <w:t>预算的</w:t>
      </w:r>
      <w:r>
        <w:rPr>
          <w:szCs w:val="32"/>
        </w:rPr>
        <w:t>106.9%</w:t>
      </w:r>
      <w:r>
        <w:rPr>
          <w:szCs w:val="32"/>
        </w:rPr>
        <w:t>，资源税完成</w:t>
      </w:r>
      <w:r>
        <w:rPr>
          <w:szCs w:val="32"/>
        </w:rPr>
        <w:t>8.46</w:t>
      </w:r>
      <w:r>
        <w:rPr>
          <w:szCs w:val="32"/>
        </w:rPr>
        <w:t>万元，占年初预算的</w:t>
      </w:r>
      <w:r>
        <w:rPr>
          <w:szCs w:val="32"/>
        </w:rPr>
        <w:t>141%</w:t>
      </w:r>
      <w:r>
        <w:rPr>
          <w:szCs w:val="32"/>
        </w:rPr>
        <w:t>；城市维护建设税完成</w:t>
      </w:r>
      <w:r>
        <w:rPr>
          <w:szCs w:val="32"/>
        </w:rPr>
        <w:t>109.07</w:t>
      </w:r>
      <w:r>
        <w:rPr>
          <w:szCs w:val="32"/>
        </w:rPr>
        <w:t>万元，占年初预算的</w:t>
      </w:r>
      <w:r>
        <w:rPr>
          <w:szCs w:val="32"/>
        </w:rPr>
        <w:t>1090.7%</w:t>
      </w:r>
      <w:r>
        <w:rPr>
          <w:szCs w:val="32"/>
        </w:rPr>
        <w:t>；房产税完成</w:t>
      </w:r>
      <w:r>
        <w:rPr>
          <w:szCs w:val="32"/>
        </w:rPr>
        <w:t>8.78</w:t>
      </w:r>
      <w:r>
        <w:rPr>
          <w:szCs w:val="32"/>
        </w:rPr>
        <w:t>万元，占年初预算的</w:t>
      </w:r>
      <w:r>
        <w:rPr>
          <w:szCs w:val="32"/>
        </w:rPr>
        <w:t>439%</w:t>
      </w:r>
      <w:r>
        <w:rPr>
          <w:szCs w:val="32"/>
        </w:rPr>
        <w:t>；印花税完成</w:t>
      </w:r>
      <w:r>
        <w:rPr>
          <w:szCs w:val="32"/>
        </w:rPr>
        <w:t>48.25</w:t>
      </w:r>
      <w:r>
        <w:rPr>
          <w:szCs w:val="32"/>
        </w:rPr>
        <w:t>万元，占年初预算的</w:t>
      </w:r>
      <w:r>
        <w:rPr>
          <w:szCs w:val="32"/>
        </w:rPr>
        <w:t>87.73%</w:t>
      </w:r>
      <w:r>
        <w:rPr>
          <w:szCs w:val="32"/>
        </w:rPr>
        <w:t>；城镇土地使用税完成</w:t>
      </w:r>
      <w:r>
        <w:rPr>
          <w:szCs w:val="32"/>
        </w:rPr>
        <w:t>30.22</w:t>
      </w:r>
      <w:r>
        <w:rPr>
          <w:szCs w:val="32"/>
        </w:rPr>
        <w:t>万元，占年初预算的</w:t>
      </w:r>
      <w:r>
        <w:rPr>
          <w:szCs w:val="32"/>
        </w:rPr>
        <w:t>755.5%</w:t>
      </w:r>
      <w:r>
        <w:rPr>
          <w:szCs w:val="32"/>
        </w:rPr>
        <w:t>；土地增值税完成</w:t>
      </w:r>
      <w:r>
        <w:rPr>
          <w:szCs w:val="32"/>
        </w:rPr>
        <w:t>30.03</w:t>
      </w:r>
      <w:r>
        <w:rPr>
          <w:szCs w:val="32"/>
        </w:rPr>
        <w:t>万元；车船税完成</w:t>
      </w:r>
      <w:r>
        <w:rPr>
          <w:szCs w:val="32"/>
        </w:rPr>
        <w:t>6.36</w:t>
      </w:r>
      <w:r>
        <w:rPr>
          <w:szCs w:val="32"/>
        </w:rPr>
        <w:t>万元，占年初预算的</w:t>
      </w:r>
      <w:r>
        <w:rPr>
          <w:szCs w:val="32"/>
        </w:rPr>
        <w:t>318%</w:t>
      </w:r>
      <w:r>
        <w:rPr>
          <w:szCs w:val="32"/>
        </w:rPr>
        <w:t>；环境保护税完成</w:t>
      </w:r>
      <w:r>
        <w:rPr>
          <w:szCs w:val="32"/>
        </w:rPr>
        <w:t>69.89</w:t>
      </w:r>
      <w:r>
        <w:rPr>
          <w:szCs w:val="32"/>
        </w:rPr>
        <w:t>万元，占年初预算的</w:t>
      </w:r>
      <w:r>
        <w:rPr>
          <w:szCs w:val="32"/>
        </w:rPr>
        <w:t>218.4%</w:t>
      </w:r>
      <w:r>
        <w:rPr>
          <w:szCs w:val="32"/>
        </w:rPr>
        <w:t>。</w:t>
      </w:r>
      <w:r>
        <w:rPr>
          <w:b/>
          <w:bCs/>
          <w:szCs w:val="32"/>
        </w:rPr>
        <w:t>二是上级补助收入，</w:t>
      </w:r>
      <w:r>
        <w:rPr>
          <w:szCs w:val="32"/>
        </w:rPr>
        <w:t>农业税正税补</w:t>
      </w:r>
      <w:r>
        <w:rPr>
          <w:szCs w:val="32"/>
        </w:rPr>
        <w:t>127.05</w:t>
      </w:r>
      <w:r>
        <w:rPr>
          <w:szCs w:val="32"/>
        </w:rPr>
        <w:t>万元，调资补助</w:t>
      </w:r>
      <w:r>
        <w:rPr>
          <w:szCs w:val="32"/>
        </w:rPr>
        <w:t>129.1</w:t>
      </w:r>
      <w:r>
        <w:rPr>
          <w:szCs w:val="32"/>
        </w:rPr>
        <w:t>万元，追加指标</w:t>
      </w:r>
      <w:r>
        <w:rPr>
          <w:szCs w:val="32"/>
        </w:rPr>
        <w:t>363.13</w:t>
      </w:r>
      <w:r>
        <w:rPr>
          <w:szCs w:val="32"/>
        </w:rPr>
        <w:t>万元。</w:t>
      </w:r>
    </w:p>
    <w:p w:rsidR="00165EA5" w:rsidRDefault="001869E1" w:rsidP="00DF030C">
      <w:pPr>
        <w:pStyle w:val="2"/>
        <w:ind w:firstLine="640"/>
        <w:rPr>
          <w:rFonts w:ascii="Times New Roman" w:hAnsi="Times New Roman"/>
          <w:b w:val="0"/>
          <w:szCs w:val="32"/>
        </w:rPr>
      </w:pPr>
      <w:r>
        <w:rPr>
          <w:rFonts w:ascii="Times New Roman" w:eastAsia="楷体_GB2312" w:hAnsi="Times New Roman"/>
          <w:bCs/>
          <w:szCs w:val="22"/>
        </w:rPr>
        <w:t>主要支出项目完成情况是：</w:t>
      </w:r>
      <w:r>
        <w:rPr>
          <w:rFonts w:ascii="Times New Roman" w:hAnsi="Times New Roman"/>
        </w:rPr>
        <w:t>一是一般预算支出。</w:t>
      </w:r>
      <w:r>
        <w:rPr>
          <w:rFonts w:ascii="Times New Roman" w:hAnsi="Times New Roman"/>
          <w:b w:val="0"/>
          <w:bCs/>
        </w:rPr>
        <w:t>一般公共服务支出</w:t>
      </w:r>
      <w:r>
        <w:rPr>
          <w:rFonts w:ascii="Times New Roman" w:hAnsi="Times New Roman"/>
          <w:b w:val="0"/>
          <w:bCs/>
        </w:rPr>
        <w:t>1135.11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/>
          <w:b w:val="0"/>
          <w:bCs/>
        </w:rPr>
        <w:t>108.77%</w:t>
      </w:r>
      <w:r>
        <w:rPr>
          <w:rFonts w:ascii="Times New Roman" w:hAnsi="Times New Roman"/>
          <w:b w:val="0"/>
          <w:bCs/>
        </w:rPr>
        <w:t>；农林水支出</w:t>
      </w:r>
      <w:r>
        <w:rPr>
          <w:rFonts w:ascii="Times New Roman" w:hAnsi="Times New Roman"/>
          <w:b w:val="0"/>
          <w:bCs/>
        </w:rPr>
        <w:t>100.22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/>
          <w:b w:val="0"/>
          <w:bCs/>
        </w:rPr>
        <w:t>100%</w:t>
      </w:r>
      <w:r>
        <w:rPr>
          <w:rFonts w:ascii="Times New Roman" w:hAnsi="Times New Roman"/>
          <w:b w:val="0"/>
          <w:bCs/>
        </w:rPr>
        <w:t>；文化旅游体育与传媒支出</w:t>
      </w:r>
      <w:r>
        <w:rPr>
          <w:rFonts w:ascii="Times New Roman" w:hAnsi="Times New Roman"/>
          <w:b w:val="0"/>
          <w:bCs/>
        </w:rPr>
        <w:t>42.54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/>
          <w:b w:val="0"/>
          <w:bCs/>
        </w:rPr>
        <w:t>94.42%</w:t>
      </w:r>
      <w:r>
        <w:rPr>
          <w:rFonts w:ascii="Times New Roman" w:hAnsi="Times New Roman"/>
          <w:b w:val="0"/>
          <w:bCs/>
        </w:rPr>
        <w:t>；社会保障和就业支出</w:t>
      </w:r>
      <w:r>
        <w:rPr>
          <w:rFonts w:ascii="Times New Roman" w:hAnsi="Times New Roman"/>
          <w:b w:val="0"/>
          <w:bCs/>
        </w:rPr>
        <w:t>34.70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/>
          <w:b w:val="0"/>
          <w:bCs/>
        </w:rPr>
        <w:t>86.75%</w:t>
      </w:r>
      <w:r>
        <w:rPr>
          <w:rFonts w:ascii="Times New Roman" w:hAnsi="Times New Roman"/>
          <w:b w:val="0"/>
          <w:bCs/>
        </w:rPr>
        <w:t>；住房保障支出</w:t>
      </w:r>
      <w:r>
        <w:rPr>
          <w:rFonts w:ascii="Times New Roman" w:hAnsi="Times New Roman"/>
          <w:b w:val="0"/>
          <w:bCs/>
        </w:rPr>
        <w:t>16.36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/>
          <w:b w:val="0"/>
          <w:bCs/>
        </w:rPr>
        <w:t>97.38%</w:t>
      </w:r>
      <w:r>
        <w:rPr>
          <w:rFonts w:ascii="Times New Roman" w:hAnsi="Times New Roman"/>
          <w:b w:val="0"/>
          <w:bCs/>
        </w:rPr>
        <w:t>；卫生健康支出</w:t>
      </w:r>
      <w:r>
        <w:rPr>
          <w:rFonts w:ascii="Times New Roman" w:hAnsi="Times New Roman"/>
          <w:b w:val="0"/>
          <w:bCs/>
        </w:rPr>
        <w:t>35.3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/>
          <w:b w:val="0"/>
          <w:bCs/>
        </w:rPr>
        <w:t>97.11%</w:t>
      </w:r>
      <w:r>
        <w:rPr>
          <w:rFonts w:ascii="Times New Roman" w:hAnsi="Times New Roman"/>
          <w:b w:val="0"/>
          <w:bCs/>
        </w:rPr>
        <w:t>；节能环保支出</w:t>
      </w:r>
      <w:r>
        <w:rPr>
          <w:rFonts w:ascii="Times New Roman" w:hAnsi="Times New Roman"/>
          <w:b w:val="0"/>
          <w:bCs/>
        </w:rPr>
        <w:t>160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/>
          <w:b w:val="0"/>
          <w:bCs/>
        </w:rPr>
        <w:t>100%</w:t>
      </w:r>
      <w:r>
        <w:rPr>
          <w:rFonts w:ascii="Times New Roman" w:hAnsi="Times New Roman"/>
          <w:b w:val="0"/>
          <w:bCs/>
        </w:rPr>
        <w:t>，城乡社区支出</w:t>
      </w:r>
      <w:r>
        <w:rPr>
          <w:rFonts w:ascii="Times New Roman" w:hAnsi="Times New Roman"/>
          <w:b w:val="0"/>
          <w:bCs/>
        </w:rPr>
        <w:t>25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/>
          <w:b w:val="0"/>
          <w:bCs/>
        </w:rPr>
        <w:t>100%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/>
        </w:rPr>
        <w:t>二是</w:t>
      </w:r>
      <w:r>
        <w:rPr>
          <w:rFonts w:ascii="Times New Roman" w:hAnsi="Times New Roman"/>
          <w:szCs w:val="32"/>
        </w:rPr>
        <w:t>上解支出。</w:t>
      </w:r>
      <w:r>
        <w:rPr>
          <w:rFonts w:ascii="Times New Roman" w:hAnsi="Times New Roman"/>
          <w:b w:val="0"/>
          <w:szCs w:val="32"/>
        </w:rPr>
        <w:t>体制上解</w:t>
      </w:r>
      <w:r>
        <w:rPr>
          <w:rFonts w:ascii="Times New Roman" w:hAnsi="Times New Roman"/>
          <w:b w:val="0"/>
          <w:szCs w:val="32"/>
        </w:rPr>
        <w:t>1810</w:t>
      </w:r>
      <w:r>
        <w:rPr>
          <w:rFonts w:ascii="Times New Roman" w:hAnsi="Times New Roman"/>
          <w:b w:val="0"/>
          <w:szCs w:val="32"/>
        </w:rPr>
        <w:t>万元；专项上解</w:t>
      </w:r>
      <w:r>
        <w:rPr>
          <w:rFonts w:ascii="Times New Roman" w:hAnsi="Times New Roman"/>
          <w:b w:val="0"/>
          <w:szCs w:val="32"/>
        </w:rPr>
        <w:t>52.4</w:t>
      </w:r>
      <w:r>
        <w:rPr>
          <w:rFonts w:ascii="Times New Roman" w:hAnsi="Times New Roman"/>
          <w:b w:val="0"/>
          <w:szCs w:val="32"/>
        </w:rPr>
        <w:t>万元；超基数上划</w:t>
      </w:r>
      <w:r>
        <w:rPr>
          <w:rFonts w:ascii="Times New Roman" w:hAnsi="Times New Roman"/>
          <w:b w:val="0"/>
          <w:szCs w:val="32"/>
        </w:rPr>
        <w:t>854</w:t>
      </w:r>
      <w:r>
        <w:rPr>
          <w:rFonts w:ascii="Times New Roman" w:hAnsi="Times New Roman"/>
          <w:b w:val="0"/>
          <w:szCs w:val="32"/>
        </w:rPr>
        <w:t>万元、扣款上解</w:t>
      </w:r>
      <w:r>
        <w:rPr>
          <w:rFonts w:ascii="Times New Roman" w:hAnsi="Times New Roman"/>
          <w:b w:val="0"/>
          <w:szCs w:val="32"/>
        </w:rPr>
        <w:t>71.96</w:t>
      </w:r>
      <w:r>
        <w:rPr>
          <w:rFonts w:ascii="Times New Roman" w:hAnsi="Times New Roman"/>
          <w:b w:val="0"/>
          <w:szCs w:val="32"/>
        </w:rPr>
        <w:t>万元。</w:t>
      </w:r>
    </w:p>
    <w:p w:rsidR="00165EA5" w:rsidRDefault="001869E1">
      <w:pPr>
        <w:overflowPunct w:val="0"/>
        <w:ind w:firstLineChars="150" w:firstLine="480"/>
        <w:rPr>
          <w:szCs w:val="32"/>
        </w:rPr>
      </w:pPr>
      <w:r>
        <w:rPr>
          <w:szCs w:val="32"/>
        </w:rPr>
        <w:t>各位代表，我镇以工业企业为主，受减税降费等政策影响，</w:t>
      </w:r>
      <w:r>
        <w:rPr>
          <w:szCs w:val="32"/>
        </w:rPr>
        <w:t>2019</w:t>
      </w:r>
      <w:r>
        <w:rPr>
          <w:szCs w:val="32"/>
        </w:rPr>
        <w:t>年预算执行较为艰难，我们要清醒地认识到，当前财政运行中仍面临着许多困难和挑战：</w:t>
      </w:r>
      <w:r>
        <w:rPr>
          <w:b/>
          <w:szCs w:val="32"/>
        </w:rPr>
        <w:t>一是</w:t>
      </w:r>
      <w:r>
        <w:rPr>
          <w:szCs w:val="32"/>
        </w:rPr>
        <w:t>财源结构单一，支柱产业企业少；</w:t>
      </w:r>
      <w:r>
        <w:rPr>
          <w:b/>
          <w:szCs w:val="32"/>
        </w:rPr>
        <w:t>二是</w:t>
      </w:r>
      <w:r>
        <w:rPr>
          <w:szCs w:val="32"/>
        </w:rPr>
        <w:t>政府各项刚性支出任务大，政策性增支因素多，财政收支矛盾依然突出；</w:t>
      </w:r>
      <w:r>
        <w:rPr>
          <w:b/>
          <w:szCs w:val="32"/>
        </w:rPr>
        <w:t>三是</w:t>
      </w:r>
      <w:r>
        <w:rPr>
          <w:szCs w:val="32"/>
        </w:rPr>
        <w:t>财政收入总量不够大。因此我们在努力增加收入的同时，时刻保持节用裕民，落实艰苦奋斗、勤俭节约的精神，认真研究应对措施，逐步改进，确保财政平稳健康运行。</w:t>
      </w:r>
    </w:p>
    <w:p w:rsidR="00165EA5" w:rsidRDefault="001869E1" w:rsidP="00DF030C">
      <w:pPr>
        <w:pStyle w:val="1"/>
        <w:ind w:firstLine="640"/>
        <w:rPr>
          <w:rFonts w:eastAsia="黑体"/>
          <w:b w:val="0"/>
          <w:bCs/>
          <w:szCs w:val="22"/>
        </w:rPr>
      </w:pPr>
      <w:r>
        <w:rPr>
          <w:rFonts w:eastAsia="黑体"/>
          <w:b w:val="0"/>
          <w:bCs/>
          <w:szCs w:val="22"/>
        </w:rPr>
        <w:lastRenderedPageBreak/>
        <w:t>二、</w:t>
      </w:r>
      <w:r>
        <w:rPr>
          <w:rFonts w:eastAsia="黑体"/>
          <w:b w:val="0"/>
          <w:bCs/>
          <w:szCs w:val="22"/>
        </w:rPr>
        <w:t>2020</w:t>
      </w:r>
      <w:r>
        <w:rPr>
          <w:rFonts w:eastAsia="黑体"/>
          <w:b w:val="0"/>
          <w:bCs/>
          <w:szCs w:val="22"/>
        </w:rPr>
        <w:t>年财政预算安排</w:t>
      </w:r>
    </w:p>
    <w:p w:rsidR="00165EA5" w:rsidRDefault="001869E1">
      <w:pPr>
        <w:overflowPunct w:val="0"/>
        <w:ind w:firstLine="640"/>
        <w:rPr>
          <w:szCs w:val="32"/>
        </w:rPr>
      </w:pPr>
      <w:r>
        <w:rPr>
          <w:szCs w:val="32"/>
        </w:rPr>
        <w:t>各位代表，受疫情影响今年财政增收困难重重，有挑战，更有机遇，一方面要大力扶持原有企业良性发展，为企业排忧解难，营造良好发展环境。另一方面，我镇招商引资项目的深入实施，新的经济增长点已逐步形成，各企业的全面复工复产后税收形势已经逐步向好。因此，我们综合考虑上述因素，</w:t>
      </w:r>
      <w:r>
        <w:rPr>
          <w:szCs w:val="32"/>
        </w:rPr>
        <w:t>2020</w:t>
      </w:r>
      <w:r>
        <w:rPr>
          <w:szCs w:val="32"/>
        </w:rPr>
        <w:t>年财政预算编制的指导思想是全面贯彻落实中央经济工作、全国两会会议精神，充分发挥财政职能作用，积极支持地方经济发展，着力培植税源，强化税收征管，加大增收力度，优化支出结构，保基本民生、保工资、保运转，牢牢兜住</w:t>
      </w:r>
      <w:r>
        <w:rPr>
          <w:szCs w:val="32"/>
        </w:rPr>
        <w:t>“</w:t>
      </w:r>
      <w:r>
        <w:rPr>
          <w:szCs w:val="32"/>
        </w:rPr>
        <w:t>三保</w:t>
      </w:r>
      <w:r>
        <w:rPr>
          <w:szCs w:val="32"/>
        </w:rPr>
        <w:t>”</w:t>
      </w:r>
      <w:r>
        <w:rPr>
          <w:szCs w:val="32"/>
        </w:rPr>
        <w:t>底线确保财政平稳运行。</w:t>
      </w:r>
    </w:p>
    <w:p w:rsidR="00165EA5" w:rsidRDefault="001869E1">
      <w:pPr>
        <w:overflowPunct w:val="0"/>
        <w:ind w:firstLine="640"/>
        <w:rPr>
          <w:bCs/>
          <w:szCs w:val="32"/>
        </w:rPr>
      </w:pPr>
      <w:r>
        <w:rPr>
          <w:szCs w:val="32"/>
        </w:rPr>
        <w:t>2020</w:t>
      </w:r>
      <w:r>
        <w:rPr>
          <w:szCs w:val="32"/>
        </w:rPr>
        <w:t>年，一般预算收入安排</w:t>
      </w:r>
      <w:r>
        <w:rPr>
          <w:szCs w:val="32"/>
        </w:rPr>
        <w:t>4200</w:t>
      </w:r>
      <w:r>
        <w:rPr>
          <w:szCs w:val="32"/>
        </w:rPr>
        <w:t>万元。</w:t>
      </w:r>
      <w:r>
        <w:rPr>
          <w:rFonts w:eastAsia="楷体_GB2312"/>
          <w:b/>
          <w:bCs/>
        </w:rPr>
        <w:t>主要收入项目是：</w:t>
      </w:r>
      <w:r>
        <w:rPr>
          <w:bCs/>
          <w:szCs w:val="32"/>
        </w:rPr>
        <w:t>增值税</w:t>
      </w:r>
      <w:r>
        <w:rPr>
          <w:bCs/>
          <w:szCs w:val="32"/>
        </w:rPr>
        <w:t>2810</w:t>
      </w:r>
      <w:r>
        <w:rPr>
          <w:bCs/>
          <w:szCs w:val="32"/>
        </w:rPr>
        <w:t>万元，企业所得税</w:t>
      </w:r>
      <w:r>
        <w:rPr>
          <w:bCs/>
          <w:szCs w:val="32"/>
        </w:rPr>
        <w:t>846</w:t>
      </w:r>
      <w:r>
        <w:rPr>
          <w:bCs/>
          <w:szCs w:val="32"/>
        </w:rPr>
        <w:t>万元，个人所得税</w:t>
      </w:r>
      <w:r>
        <w:rPr>
          <w:bCs/>
          <w:szCs w:val="32"/>
        </w:rPr>
        <w:t>116</w:t>
      </w:r>
      <w:r>
        <w:rPr>
          <w:bCs/>
          <w:szCs w:val="32"/>
        </w:rPr>
        <w:t>万元，资源税</w:t>
      </w:r>
      <w:r>
        <w:rPr>
          <w:bCs/>
          <w:szCs w:val="32"/>
        </w:rPr>
        <w:t>12</w:t>
      </w:r>
      <w:r>
        <w:rPr>
          <w:bCs/>
          <w:szCs w:val="32"/>
        </w:rPr>
        <w:t>万元，城市维护建设税</w:t>
      </w:r>
      <w:r>
        <w:rPr>
          <w:bCs/>
          <w:szCs w:val="32"/>
        </w:rPr>
        <w:t>148</w:t>
      </w:r>
      <w:r>
        <w:rPr>
          <w:bCs/>
          <w:szCs w:val="32"/>
        </w:rPr>
        <w:t>万元，房产税</w:t>
      </w:r>
      <w:r>
        <w:rPr>
          <w:bCs/>
          <w:szCs w:val="32"/>
        </w:rPr>
        <w:t>12</w:t>
      </w:r>
      <w:r>
        <w:rPr>
          <w:bCs/>
          <w:szCs w:val="32"/>
        </w:rPr>
        <w:t>万元，印花税</w:t>
      </w:r>
      <w:r>
        <w:rPr>
          <w:bCs/>
          <w:szCs w:val="32"/>
        </w:rPr>
        <w:t>65</w:t>
      </w:r>
      <w:r>
        <w:rPr>
          <w:bCs/>
          <w:szCs w:val="32"/>
        </w:rPr>
        <w:t>万元，城镇土地使用税</w:t>
      </w:r>
      <w:r>
        <w:rPr>
          <w:bCs/>
          <w:szCs w:val="32"/>
        </w:rPr>
        <w:t>40</w:t>
      </w:r>
      <w:r>
        <w:rPr>
          <w:bCs/>
          <w:szCs w:val="32"/>
        </w:rPr>
        <w:t>万元，土地增值税</w:t>
      </w:r>
      <w:r>
        <w:rPr>
          <w:bCs/>
          <w:szCs w:val="32"/>
        </w:rPr>
        <w:t>40</w:t>
      </w:r>
      <w:r>
        <w:rPr>
          <w:bCs/>
          <w:szCs w:val="32"/>
        </w:rPr>
        <w:t>万元，车船税</w:t>
      </w:r>
      <w:r>
        <w:rPr>
          <w:bCs/>
          <w:szCs w:val="32"/>
        </w:rPr>
        <w:t>16</w:t>
      </w:r>
      <w:r>
        <w:rPr>
          <w:bCs/>
          <w:szCs w:val="32"/>
        </w:rPr>
        <w:t>万元，环境保护税</w:t>
      </w:r>
      <w:r>
        <w:rPr>
          <w:bCs/>
          <w:szCs w:val="32"/>
        </w:rPr>
        <w:t>95</w:t>
      </w:r>
      <w:r>
        <w:rPr>
          <w:bCs/>
          <w:szCs w:val="32"/>
        </w:rPr>
        <w:t>万元。</w:t>
      </w:r>
    </w:p>
    <w:p w:rsidR="00165EA5" w:rsidRDefault="001869E1">
      <w:pPr>
        <w:overflowPunct w:val="0"/>
        <w:ind w:firstLine="640"/>
        <w:rPr>
          <w:b/>
          <w:szCs w:val="32"/>
        </w:rPr>
      </w:pPr>
      <w:r>
        <w:rPr>
          <w:szCs w:val="32"/>
        </w:rPr>
        <w:t>按现行财政体制算账，收入完成后本级可支配财力</w:t>
      </w:r>
      <w:r>
        <w:rPr>
          <w:szCs w:val="32"/>
        </w:rPr>
        <w:t>1617.31</w:t>
      </w:r>
      <w:r>
        <w:rPr>
          <w:szCs w:val="32"/>
        </w:rPr>
        <w:t>万元。</w:t>
      </w:r>
      <w:r>
        <w:rPr>
          <w:rFonts w:eastAsia="楷体_GB2312"/>
          <w:b/>
          <w:bCs/>
          <w:szCs w:val="22"/>
        </w:rPr>
        <w:t>主要支出项目如下：</w:t>
      </w:r>
      <w:r>
        <w:rPr>
          <w:szCs w:val="32"/>
        </w:rPr>
        <w:t>一般公共服务支出</w:t>
      </w:r>
      <w:r w:rsidR="00AB4D95">
        <w:rPr>
          <w:rFonts w:hint="eastAsia"/>
          <w:szCs w:val="32"/>
        </w:rPr>
        <w:t>1807.5</w:t>
      </w:r>
      <w:r>
        <w:rPr>
          <w:szCs w:val="32"/>
        </w:rPr>
        <w:t>万元（其中偿还上级往来</w:t>
      </w:r>
      <w:r>
        <w:rPr>
          <w:szCs w:val="32"/>
        </w:rPr>
        <w:t>636</w:t>
      </w:r>
      <w:r>
        <w:rPr>
          <w:szCs w:val="32"/>
        </w:rPr>
        <w:t>万元）；</w:t>
      </w:r>
      <w:r w:rsidR="00B60E79">
        <w:rPr>
          <w:rFonts w:hint="eastAsia"/>
          <w:szCs w:val="32"/>
        </w:rPr>
        <w:t>国防支出</w:t>
      </w:r>
      <w:r w:rsidR="00B60E79">
        <w:rPr>
          <w:rFonts w:hint="eastAsia"/>
          <w:szCs w:val="32"/>
        </w:rPr>
        <w:t>3</w:t>
      </w:r>
      <w:r w:rsidR="00B60E79">
        <w:rPr>
          <w:rFonts w:hint="eastAsia"/>
          <w:szCs w:val="32"/>
        </w:rPr>
        <w:t>万元（民兵）</w:t>
      </w:r>
      <w:r w:rsidR="001F626A">
        <w:rPr>
          <w:rFonts w:hint="eastAsia"/>
          <w:szCs w:val="32"/>
        </w:rPr>
        <w:t>；</w:t>
      </w:r>
      <w:r>
        <w:rPr>
          <w:szCs w:val="32"/>
        </w:rPr>
        <w:t>农林水支出</w:t>
      </w:r>
      <w:r>
        <w:rPr>
          <w:szCs w:val="32"/>
        </w:rPr>
        <w:t>128.8</w:t>
      </w:r>
      <w:r>
        <w:rPr>
          <w:szCs w:val="32"/>
        </w:rPr>
        <w:t>万元；文化旅游体育与传媒支出</w:t>
      </w:r>
      <w:r>
        <w:rPr>
          <w:szCs w:val="32"/>
        </w:rPr>
        <w:t>51</w:t>
      </w:r>
      <w:r>
        <w:rPr>
          <w:szCs w:val="32"/>
        </w:rPr>
        <w:t>万元；社会保障和就业支出</w:t>
      </w:r>
      <w:r w:rsidR="00AB4D95">
        <w:rPr>
          <w:rFonts w:hint="eastAsia"/>
          <w:szCs w:val="32"/>
        </w:rPr>
        <w:t>13.82</w:t>
      </w:r>
      <w:r>
        <w:rPr>
          <w:szCs w:val="32"/>
        </w:rPr>
        <w:t>万元；住房保障支出</w:t>
      </w:r>
      <w:r>
        <w:rPr>
          <w:szCs w:val="32"/>
        </w:rPr>
        <w:t>26</w:t>
      </w:r>
      <w:r>
        <w:rPr>
          <w:szCs w:val="32"/>
        </w:rPr>
        <w:t>万元；卫生健康支出</w:t>
      </w:r>
      <w:r>
        <w:rPr>
          <w:szCs w:val="32"/>
        </w:rPr>
        <w:t>44.2</w:t>
      </w:r>
      <w:r>
        <w:rPr>
          <w:szCs w:val="32"/>
        </w:rPr>
        <w:t>万元；节能环保支出</w:t>
      </w:r>
      <w:r>
        <w:rPr>
          <w:szCs w:val="32"/>
        </w:rPr>
        <w:t>138.99</w:t>
      </w:r>
      <w:r>
        <w:rPr>
          <w:szCs w:val="32"/>
        </w:rPr>
        <w:t>万元，城乡社区支出</w:t>
      </w:r>
      <w:r>
        <w:rPr>
          <w:szCs w:val="32"/>
        </w:rPr>
        <w:t>25</w:t>
      </w:r>
      <w:r>
        <w:rPr>
          <w:szCs w:val="32"/>
        </w:rPr>
        <w:t>万元，其他支出（预备费）</w:t>
      </w:r>
      <w:r>
        <w:rPr>
          <w:szCs w:val="32"/>
        </w:rPr>
        <w:t>15</w:t>
      </w:r>
      <w:r>
        <w:rPr>
          <w:szCs w:val="32"/>
        </w:rPr>
        <w:t>万元。</w:t>
      </w:r>
    </w:p>
    <w:p w:rsidR="00165EA5" w:rsidRDefault="001869E1">
      <w:pPr>
        <w:overflowPunct w:val="0"/>
        <w:ind w:firstLine="640"/>
        <w:rPr>
          <w:szCs w:val="32"/>
        </w:rPr>
      </w:pPr>
      <w:r>
        <w:rPr>
          <w:szCs w:val="32"/>
        </w:rPr>
        <w:t>各位代表，受疫情影响</w:t>
      </w:r>
      <w:r>
        <w:rPr>
          <w:szCs w:val="32"/>
        </w:rPr>
        <w:t>2020</w:t>
      </w:r>
      <w:r>
        <w:rPr>
          <w:szCs w:val="32"/>
        </w:rPr>
        <w:t>年财政工作任务艰巨，责任重大，继续规范支出范围，强化预算约束，坚持量入为出，严格依</w:t>
      </w:r>
      <w:r>
        <w:rPr>
          <w:szCs w:val="32"/>
        </w:rPr>
        <w:lastRenderedPageBreak/>
        <w:t>法理财、民主理财、科学理财，确保财政收支平衡。认真贯彻以人民为中心的思想，政府要带头过</w:t>
      </w:r>
      <w:r>
        <w:rPr>
          <w:szCs w:val="32"/>
        </w:rPr>
        <w:t>“</w:t>
      </w:r>
      <w:r>
        <w:rPr>
          <w:szCs w:val="32"/>
        </w:rPr>
        <w:t>紧日子</w:t>
      </w:r>
      <w:r>
        <w:rPr>
          <w:szCs w:val="32"/>
        </w:rPr>
        <w:t>”</w:t>
      </w:r>
      <w:r>
        <w:rPr>
          <w:szCs w:val="32"/>
        </w:rPr>
        <w:t>财政要节用裕民，落实艰苦奋斗、勤俭节约的精神，不该花的钱一分不花，该花的钱花到刀刃上，做好</w:t>
      </w:r>
      <w:r>
        <w:rPr>
          <w:szCs w:val="32"/>
        </w:rPr>
        <w:t>“</w:t>
      </w:r>
      <w:r>
        <w:rPr>
          <w:szCs w:val="32"/>
        </w:rPr>
        <w:t>六稳</w:t>
      </w:r>
      <w:r>
        <w:rPr>
          <w:szCs w:val="32"/>
        </w:rPr>
        <w:t>”</w:t>
      </w:r>
      <w:r>
        <w:rPr>
          <w:szCs w:val="32"/>
        </w:rPr>
        <w:t>工作，落实</w:t>
      </w:r>
      <w:r>
        <w:rPr>
          <w:szCs w:val="32"/>
        </w:rPr>
        <w:t>“</w:t>
      </w:r>
      <w:r>
        <w:rPr>
          <w:szCs w:val="32"/>
        </w:rPr>
        <w:t>六保</w:t>
      </w:r>
      <w:r>
        <w:rPr>
          <w:szCs w:val="32"/>
        </w:rPr>
        <w:t>”</w:t>
      </w:r>
      <w:r>
        <w:rPr>
          <w:szCs w:val="32"/>
        </w:rPr>
        <w:t>任务，兜牢民生底线。我们有信心在镇党委、政府的正确领导下，在镇人大、镇纪委的监督指导下，抢抓机遇，开拓创新，务实重干，坚定信心，克难攻坚，为全镇的经济发展和社会和谐做出积极的贡献。</w:t>
      </w:r>
    </w:p>
    <w:p w:rsidR="00165EA5" w:rsidRDefault="00165EA5">
      <w:pPr>
        <w:overflowPunct w:val="0"/>
        <w:ind w:firstLine="640"/>
        <w:rPr>
          <w:szCs w:val="32"/>
        </w:rPr>
      </w:pPr>
    </w:p>
    <w:p w:rsidR="00165EA5" w:rsidRDefault="00165EA5">
      <w:pPr>
        <w:overflowPunct w:val="0"/>
        <w:ind w:firstLine="640"/>
        <w:rPr>
          <w:szCs w:val="32"/>
        </w:rPr>
      </w:pPr>
    </w:p>
    <w:p w:rsidR="00165EA5" w:rsidRDefault="00165EA5">
      <w:pPr>
        <w:overflowPunct w:val="0"/>
        <w:ind w:firstLine="640"/>
        <w:rPr>
          <w:szCs w:val="32"/>
        </w:rPr>
      </w:pPr>
    </w:p>
    <w:sectPr w:rsidR="00165EA5" w:rsidSect="00165E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74" w:right="1474" w:bottom="1474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9BC" w:rsidRDefault="00D359BC" w:rsidP="00DF030C">
      <w:pPr>
        <w:spacing w:line="240" w:lineRule="auto"/>
        <w:ind w:firstLine="640"/>
      </w:pPr>
      <w:r>
        <w:separator/>
      </w:r>
    </w:p>
  </w:endnote>
  <w:endnote w:type="continuationSeparator" w:id="0">
    <w:p w:rsidR="00D359BC" w:rsidRDefault="00D359BC" w:rsidP="00DF030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EA5" w:rsidRDefault="007A32F3">
    <w:pPr>
      <w:pStyle w:val="a3"/>
      <w:framePr w:wrap="around" w:vAnchor="text" w:hAnchor="margin" w:xAlign="center" w:y="1"/>
      <w:ind w:firstLine="360"/>
      <w:rPr>
        <w:rStyle w:val="a5"/>
      </w:rPr>
    </w:pPr>
    <w:r>
      <w:rPr>
        <w:rStyle w:val="a5"/>
      </w:rPr>
      <w:fldChar w:fldCharType="begin"/>
    </w:r>
    <w:r w:rsidR="001869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5EA5" w:rsidRDefault="00165EA5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EA5" w:rsidRDefault="007A32F3">
    <w:pPr>
      <w:pStyle w:val="a3"/>
      <w:framePr w:wrap="around" w:vAnchor="text" w:hAnchor="margin" w:xAlign="center" w:y="1"/>
      <w:ind w:firstLine="360"/>
      <w:rPr>
        <w:rStyle w:val="a5"/>
      </w:rPr>
    </w:pPr>
    <w:r>
      <w:rPr>
        <w:rStyle w:val="a5"/>
      </w:rPr>
      <w:fldChar w:fldCharType="begin"/>
    </w:r>
    <w:r w:rsidR="001869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4D95">
      <w:rPr>
        <w:rStyle w:val="a5"/>
        <w:noProof/>
      </w:rPr>
      <w:t>- 3 -</w:t>
    </w:r>
    <w:r>
      <w:rPr>
        <w:rStyle w:val="a5"/>
      </w:rPr>
      <w:fldChar w:fldCharType="end"/>
    </w:r>
  </w:p>
  <w:p w:rsidR="00165EA5" w:rsidRDefault="00165EA5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EA5" w:rsidRDefault="00165EA5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9BC" w:rsidRDefault="00D359BC" w:rsidP="00DF030C">
      <w:pPr>
        <w:spacing w:line="240" w:lineRule="auto"/>
        <w:ind w:firstLine="640"/>
      </w:pPr>
      <w:r>
        <w:separator/>
      </w:r>
    </w:p>
  </w:footnote>
  <w:footnote w:type="continuationSeparator" w:id="0">
    <w:p w:rsidR="00D359BC" w:rsidRDefault="00D359BC" w:rsidP="00DF030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EA5" w:rsidRDefault="00165EA5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EA5" w:rsidRDefault="00165EA5">
    <w:pPr>
      <w:ind w:left="40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EA5" w:rsidRDefault="00165EA5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98366C"/>
    <w:rsid w:val="000056DD"/>
    <w:rsid w:val="00034CB2"/>
    <w:rsid w:val="000451FE"/>
    <w:rsid w:val="00047D72"/>
    <w:rsid w:val="00057F46"/>
    <w:rsid w:val="00072E28"/>
    <w:rsid w:val="00087490"/>
    <w:rsid w:val="0009317E"/>
    <w:rsid w:val="000972D0"/>
    <w:rsid w:val="00097826"/>
    <w:rsid w:val="000B4F53"/>
    <w:rsid w:val="000D3069"/>
    <w:rsid w:val="000E1B8F"/>
    <w:rsid w:val="000E5AB1"/>
    <w:rsid w:val="0010364D"/>
    <w:rsid w:val="00116BF8"/>
    <w:rsid w:val="00132BCC"/>
    <w:rsid w:val="00141C53"/>
    <w:rsid w:val="001443C2"/>
    <w:rsid w:val="001533C5"/>
    <w:rsid w:val="0016127D"/>
    <w:rsid w:val="00165EA5"/>
    <w:rsid w:val="00180870"/>
    <w:rsid w:val="001869E1"/>
    <w:rsid w:val="00192688"/>
    <w:rsid w:val="001C1D1F"/>
    <w:rsid w:val="001E6784"/>
    <w:rsid w:val="001F626A"/>
    <w:rsid w:val="002059E5"/>
    <w:rsid w:val="00205C85"/>
    <w:rsid w:val="00210DC0"/>
    <w:rsid w:val="00214791"/>
    <w:rsid w:val="00224C0F"/>
    <w:rsid w:val="0023568C"/>
    <w:rsid w:val="0023675C"/>
    <w:rsid w:val="002404E4"/>
    <w:rsid w:val="002450BE"/>
    <w:rsid w:val="002572EC"/>
    <w:rsid w:val="00274DCF"/>
    <w:rsid w:val="00280305"/>
    <w:rsid w:val="00287CC2"/>
    <w:rsid w:val="00294C93"/>
    <w:rsid w:val="00295668"/>
    <w:rsid w:val="00297B1A"/>
    <w:rsid w:val="002B7476"/>
    <w:rsid w:val="002E3230"/>
    <w:rsid w:val="0031574D"/>
    <w:rsid w:val="00316F84"/>
    <w:rsid w:val="003216EB"/>
    <w:rsid w:val="003226C8"/>
    <w:rsid w:val="003264BA"/>
    <w:rsid w:val="00345FEF"/>
    <w:rsid w:val="00362360"/>
    <w:rsid w:val="00366945"/>
    <w:rsid w:val="00375266"/>
    <w:rsid w:val="00375A13"/>
    <w:rsid w:val="003938A5"/>
    <w:rsid w:val="003A0E36"/>
    <w:rsid w:val="003A549C"/>
    <w:rsid w:val="003A58B9"/>
    <w:rsid w:val="003B1EF6"/>
    <w:rsid w:val="003B74F9"/>
    <w:rsid w:val="003D5D6C"/>
    <w:rsid w:val="003D74A0"/>
    <w:rsid w:val="003E076B"/>
    <w:rsid w:val="003F3AC3"/>
    <w:rsid w:val="003F4396"/>
    <w:rsid w:val="003F56EC"/>
    <w:rsid w:val="003F5A03"/>
    <w:rsid w:val="00406343"/>
    <w:rsid w:val="004211D0"/>
    <w:rsid w:val="00425499"/>
    <w:rsid w:val="00427687"/>
    <w:rsid w:val="00450979"/>
    <w:rsid w:val="00450DC5"/>
    <w:rsid w:val="0045144D"/>
    <w:rsid w:val="00451880"/>
    <w:rsid w:val="004579F6"/>
    <w:rsid w:val="00480A23"/>
    <w:rsid w:val="004919CD"/>
    <w:rsid w:val="004A2468"/>
    <w:rsid w:val="004A4BED"/>
    <w:rsid w:val="004A6695"/>
    <w:rsid w:val="004B42B5"/>
    <w:rsid w:val="004D1132"/>
    <w:rsid w:val="004D1A2E"/>
    <w:rsid w:val="00500E1F"/>
    <w:rsid w:val="00503A56"/>
    <w:rsid w:val="005069B6"/>
    <w:rsid w:val="00523CE3"/>
    <w:rsid w:val="0053699B"/>
    <w:rsid w:val="00541140"/>
    <w:rsid w:val="00543662"/>
    <w:rsid w:val="00546A25"/>
    <w:rsid w:val="00547848"/>
    <w:rsid w:val="00555BE4"/>
    <w:rsid w:val="00565120"/>
    <w:rsid w:val="0057248B"/>
    <w:rsid w:val="00574B25"/>
    <w:rsid w:val="00576D47"/>
    <w:rsid w:val="0059541B"/>
    <w:rsid w:val="005A3890"/>
    <w:rsid w:val="005C5301"/>
    <w:rsid w:val="005C57E6"/>
    <w:rsid w:val="005E0D5F"/>
    <w:rsid w:val="005E1C64"/>
    <w:rsid w:val="005E6A91"/>
    <w:rsid w:val="005F2100"/>
    <w:rsid w:val="005F225A"/>
    <w:rsid w:val="006041B1"/>
    <w:rsid w:val="0060437F"/>
    <w:rsid w:val="00626712"/>
    <w:rsid w:val="00630FE2"/>
    <w:rsid w:val="0064764E"/>
    <w:rsid w:val="00652597"/>
    <w:rsid w:val="006625CB"/>
    <w:rsid w:val="00684CCB"/>
    <w:rsid w:val="00694071"/>
    <w:rsid w:val="00695E80"/>
    <w:rsid w:val="006A647F"/>
    <w:rsid w:val="006A7742"/>
    <w:rsid w:val="006B38B9"/>
    <w:rsid w:val="006C0EEA"/>
    <w:rsid w:val="006C397B"/>
    <w:rsid w:val="006D1DF2"/>
    <w:rsid w:val="006F3C9C"/>
    <w:rsid w:val="00705EF9"/>
    <w:rsid w:val="00711097"/>
    <w:rsid w:val="00722DCC"/>
    <w:rsid w:val="007233F7"/>
    <w:rsid w:val="007612AC"/>
    <w:rsid w:val="007722B9"/>
    <w:rsid w:val="00782352"/>
    <w:rsid w:val="007A32F3"/>
    <w:rsid w:val="007A3A9A"/>
    <w:rsid w:val="007E2E55"/>
    <w:rsid w:val="007F76AA"/>
    <w:rsid w:val="00800047"/>
    <w:rsid w:val="00803E3C"/>
    <w:rsid w:val="00816586"/>
    <w:rsid w:val="00824A9E"/>
    <w:rsid w:val="00834659"/>
    <w:rsid w:val="00851748"/>
    <w:rsid w:val="00863174"/>
    <w:rsid w:val="0086514E"/>
    <w:rsid w:val="00867BC9"/>
    <w:rsid w:val="0088320C"/>
    <w:rsid w:val="00892AC5"/>
    <w:rsid w:val="008A291D"/>
    <w:rsid w:val="008A4775"/>
    <w:rsid w:val="008A6068"/>
    <w:rsid w:val="008C693D"/>
    <w:rsid w:val="008D48A9"/>
    <w:rsid w:val="008F0DC6"/>
    <w:rsid w:val="00910717"/>
    <w:rsid w:val="0092541E"/>
    <w:rsid w:val="00930411"/>
    <w:rsid w:val="00955D17"/>
    <w:rsid w:val="00956923"/>
    <w:rsid w:val="00963FD5"/>
    <w:rsid w:val="00982FCC"/>
    <w:rsid w:val="0098366C"/>
    <w:rsid w:val="0099681C"/>
    <w:rsid w:val="009C7EB0"/>
    <w:rsid w:val="009D747F"/>
    <w:rsid w:val="009E039E"/>
    <w:rsid w:val="009E374C"/>
    <w:rsid w:val="009E63F3"/>
    <w:rsid w:val="00A06602"/>
    <w:rsid w:val="00A10C2D"/>
    <w:rsid w:val="00A12AFD"/>
    <w:rsid w:val="00A55E41"/>
    <w:rsid w:val="00A56B09"/>
    <w:rsid w:val="00A71944"/>
    <w:rsid w:val="00A806C0"/>
    <w:rsid w:val="00AA456C"/>
    <w:rsid w:val="00AB4A48"/>
    <w:rsid w:val="00AB4D95"/>
    <w:rsid w:val="00AB513F"/>
    <w:rsid w:val="00AC7962"/>
    <w:rsid w:val="00AD503A"/>
    <w:rsid w:val="00B236AA"/>
    <w:rsid w:val="00B24F07"/>
    <w:rsid w:val="00B258BF"/>
    <w:rsid w:val="00B32131"/>
    <w:rsid w:val="00B34F61"/>
    <w:rsid w:val="00B442F5"/>
    <w:rsid w:val="00B47A7C"/>
    <w:rsid w:val="00B60E79"/>
    <w:rsid w:val="00B651B1"/>
    <w:rsid w:val="00B70313"/>
    <w:rsid w:val="00B77377"/>
    <w:rsid w:val="00B8180A"/>
    <w:rsid w:val="00BA3316"/>
    <w:rsid w:val="00BA6ED5"/>
    <w:rsid w:val="00BC0F40"/>
    <w:rsid w:val="00BE00E4"/>
    <w:rsid w:val="00BE5622"/>
    <w:rsid w:val="00BF1F77"/>
    <w:rsid w:val="00BF7196"/>
    <w:rsid w:val="00C06205"/>
    <w:rsid w:val="00C107C1"/>
    <w:rsid w:val="00C171D5"/>
    <w:rsid w:val="00C22681"/>
    <w:rsid w:val="00C26233"/>
    <w:rsid w:val="00C546FC"/>
    <w:rsid w:val="00C555FB"/>
    <w:rsid w:val="00C62E69"/>
    <w:rsid w:val="00C64D9F"/>
    <w:rsid w:val="00C77979"/>
    <w:rsid w:val="00C8701E"/>
    <w:rsid w:val="00C958BB"/>
    <w:rsid w:val="00CB79B0"/>
    <w:rsid w:val="00CC5A7F"/>
    <w:rsid w:val="00CD01EC"/>
    <w:rsid w:val="00CF60D1"/>
    <w:rsid w:val="00D126EF"/>
    <w:rsid w:val="00D13E28"/>
    <w:rsid w:val="00D15775"/>
    <w:rsid w:val="00D359BC"/>
    <w:rsid w:val="00D4557D"/>
    <w:rsid w:val="00D62168"/>
    <w:rsid w:val="00D65D41"/>
    <w:rsid w:val="00D8041D"/>
    <w:rsid w:val="00D85389"/>
    <w:rsid w:val="00D91CDF"/>
    <w:rsid w:val="00D93763"/>
    <w:rsid w:val="00DD5250"/>
    <w:rsid w:val="00DD5E31"/>
    <w:rsid w:val="00DF030C"/>
    <w:rsid w:val="00E02FA0"/>
    <w:rsid w:val="00E16134"/>
    <w:rsid w:val="00E20A69"/>
    <w:rsid w:val="00E25890"/>
    <w:rsid w:val="00E358E8"/>
    <w:rsid w:val="00E376F3"/>
    <w:rsid w:val="00E602B6"/>
    <w:rsid w:val="00E81EAB"/>
    <w:rsid w:val="00E820CF"/>
    <w:rsid w:val="00E845B5"/>
    <w:rsid w:val="00E87538"/>
    <w:rsid w:val="00E96182"/>
    <w:rsid w:val="00EA0D09"/>
    <w:rsid w:val="00EA26D3"/>
    <w:rsid w:val="00EA5524"/>
    <w:rsid w:val="00EB5BBD"/>
    <w:rsid w:val="00EB6137"/>
    <w:rsid w:val="00EC22A2"/>
    <w:rsid w:val="00EF0DD7"/>
    <w:rsid w:val="00F21FBC"/>
    <w:rsid w:val="00F23CB2"/>
    <w:rsid w:val="00F30ED9"/>
    <w:rsid w:val="00F36583"/>
    <w:rsid w:val="00F4713B"/>
    <w:rsid w:val="00F52D51"/>
    <w:rsid w:val="00F77745"/>
    <w:rsid w:val="00FA065E"/>
    <w:rsid w:val="00FA1A87"/>
    <w:rsid w:val="00FA1F81"/>
    <w:rsid w:val="00FA326C"/>
    <w:rsid w:val="00FA49A2"/>
    <w:rsid w:val="00FC55CD"/>
    <w:rsid w:val="00FD0E33"/>
    <w:rsid w:val="00FD5C37"/>
    <w:rsid w:val="00FE6251"/>
    <w:rsid w:val="00FF07F3"/>
    <w:rsid w:val="0478203A"/>
    <w:rsid w:val="056636CB"/>
    <w:rsid w:val="06B70516"/>
    <w:rsid w:val="08692190"/>
    <w:rsid w:val="08C93BDF"/>
    <w:rsid w:val="0BB2671D"/>
    <w:rsid w:val="0C3B4BAE"/>
    <w:rsid w:val="0D513C08"/>
    <w:rsid w:val="0F4031BF"/>
    <w:rsid w:val="0FDC0EA3"/>
    <w:rsid w:val="114A1162"/>
    <w:rsid w:val="11AB6280"/>
    <w:rsid w:val="15130E9F"/>
    <w:rsid w:val="15796CF2"/>
    <w:rsid w:val="173B5807"/>
    <w:rsid w:val="17DD7948"/>
    <w:rsid w:val="1AEB26AF"/>
    <w:rsid w:val="200A0CFE"/>
    <w:rsid w:val="22D634B0"/>
    <w:rsid w:val="24D814B0"/>
    <w:rsid w:val="264D767C"/>
    <w:rsid w:val="273E5C4A"/>
    <w:rsid w:val="295D6CC9"/>
    <w:rsid w:val="2ABC0B0D"/>
    <w:rsid w:val="341A0B89"/>
    <w:rsid w:val="356D5C4D"/>
    <w:rsid w:val="380E0B55"/>
    <w:rsid w:val="3A2047B4"/>
    <w:rsid w:val="41AB2ABE"/>
    <w:rsid w:val="43506F02"/>
    <w:rsid w:val="442069DD"/>
    <w:rsid w:val="46094001"/>
    <w:rsid w:val="465B3BD7"/>
    <w:rsid w:val="4985568B"/>
    <w:rsid w:val="52656134"/>
    <w:rsid w:val="55944624"/>
    <w:rsid w:val="559F5808"/>
    <w:rsid w:val="58BE2917"/>
    <w:rsid w:val="593D6A85"/>
    <w:rsid w:val="5AFF7923"/>
    <w:rsid w:val="5F8A2246"/>
    <w:rsid w:val="5FEA01BE"/>
    <w:rsid w:val="6332333D"/>
    <w:rsid w:val="63B11F5D"/>
    <w:rsid w:val="6625286C"/>
    <w:rsid w:val="66370C9A"/>
    <w:rsid w:val="672B7CB9"/>
    <w:rsid w:val="69AB5CD4"/>
    <w:rsid w:val="6B0659C2"/>
    <w:rsid w:val="6E3A7806"/>
    <w:rsid w:val="754141F0"/>
    <w:rsid w:val="7A9F0AD4"/>
    <w:rsid w:val="7F20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A5"/>
    <w:pPr>
      <w:widowControl w:val="0"/>
      <w:spacing w:line="560" w:lineRule="exact"/>
      <w:ind w:firstLineChars="200" w:firstLine="21"/>
      <w:jc w:val="both"/>
    </w:pPr>
    <w:rPr>
      <w:rFonts w:ascii="Times New Roman" w:eastAsia="仿宋_GB2312" w:hAnsi="Times New Roman"/>
      <w:sz w:val="32"/>
    </w:rPr>
  </w:style>
  <w:style w:type="paragraph" w:styleId="1">
    <w:name w:val="heading 1"/>
    <w:basedOn w:val="a"/>
    <w:next w:val="a"/>
    <w:qFormat/>
    <w:locked/>
    <w:rsid w:val="00165EA5"/>
    <w:pPr>
      <w:keepNext/>
      <w:keepLines/>
      <w:outlineLvl w:val="0"/>
    </w:pPr>
    <w:rPr>
      <w:rFonts w:eastAsia="楷体_GB2312"/>
      <w:b/>
      <w:kern w:val="44"/>
    </w:rPr>
  </w:style>
  <w:style w:type="paragraph" w:styleId="2">
    <w:name w:val="heading 2"/>
    <w:basedOn w:val="a"/>
    <w:next w:val="a"/>
    <w:unhideWhenUsed/>
    <w:qFormat/>
    <w:locked/>
    <w:rsid w:val="00165EA5"/>
    <w:pPr>
      <w:keepNext/>
      <w:keepLines/>
      <w:outlineLvl w:val="1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165E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165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qFormat/>
    <w:rsid w:val="00165EA5"/>
    <w:rPr>
      <w:rFonts w:cs="Times New Roman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165EA5"/>
    <w:rPr>
      <w:rFonts w:ascii="Times New Roman" w:eastAsia="宋体" w:hAnsi="Times New Roman" w:cs="Times New Roman"/>
      <w:kern w:val="0"/>
      <w:sz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165EA5"/>
    <w:rPr>
      <w:rFonts w:ascii="Times New Roman" w:eastAsia="宋体" w:hAnsi="Times New Roman" w:cs="Times New Roman"/>
      <w:kern w:val="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4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关于照镜镇2016年财政预算执行情况</dc:title>
  <dc:creator>admin</dc:creator>
  <cp:lastModifiedBy>Administrator</cp:lastModifiedBy>
  <cp:revision>165</cp:revision>
  <cp:lastPrinted>2020-06-27T02:05:00Z</cp:lastPrinted>
  <dcterms:created xsi:type="dcterms:W3CDTF">2019-04-29T09:26:00Z</dcterms:created>
  <dcterms:modified xsi:type="dcterms:W3CDTF">2020-07-13T04:17:00Z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